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46783" w:rsidRPr="004614CC" w:rsidP="00846783">
      <w:pPr>
        <w:pStyle w:val="Heading1"/>
        <w:spacing w:before="0" w:after="120" w:line="276" w:lineRule="auto"/>
        <w:rPr>
          <w:b w:val="0"/>
          <w:color w:val="000000" w:themeColor="text1"/>
          <w:sz w:val="34"/>
          <w:szCs w:val="34"/>
        </w:rPr>
      </w:pPr>
      <w:r w:rsidRPr="004614CC">
        <w:rPr>
          <w:b w:val="0"/>
          <w:color w:val="000000" w:themeColor="text1"/>
          <w:sz w:val="34"/>
          <w:szCs w:val="34"/>
        </w:rPr>
        <w:t>LOCAL PENSIONS PARTNERSHIP INVESTMENTS LIMITED</w:t>
      </w:r>
      <w:bookmarkStart w:id="0" w:name="_GoBack"/>
      <w:bookmarkEnd w:id="0"/>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tblPr>
      <w:tblGrid>
        <w:gridCol w:w="5353"/>
        <w:gridCol w:w="4428"/>
      </w:tblGrid>
      <w:tr w:rsidTr="00B9203C">
        <w:tblPrEx>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tblPrEx>
        <w:tc>
          <w:tcPr>
            <w:tcW w:w="5353" w:type="dxa"/>
          </w:tcPr>
          <w:p w:rsidR="00846783" w:rsidRPr="004614CC" w:rsidP="00B9203C">
            <w:pPr>
              <w:ind w:left="-105"/>
              <w:rPr>
                <w:rFonts w:ascii="Arial" w:hAnsi="Arial" w:cs="Arial"/>
                <w:b/>
                <w:bCs/>
                <w:iCs/>
                <w:color w:val="000000" w:themeColor="text1"/>
                <w:sz w:val="28"/>
              </w:rPr>
            </w:pPr>
            <w:r w:rsidRPr="004614CC">
              <w:rPr>
                <w:rFonts w:ascii="Arial" w:hAnsi="Arial" w:cs="Arial"/>
                <w:b/>
                <w:bCs/>
                <w:iCs/>
                <w:color w:val="000000" w:themeColor="text1"/>
                <w:sz w:val="28"/>
              </w:rPr>
              <w:t>Lancashire County Pension Fund</w:t>
            </w:r>
          </w:p>
        </w:tc>
        <w:tc>
          <w:tcPr>
            <w:tcW w:w="4428" w:type="dxa"/>
          </w:tcPr>
          <w:p w:rsidR="00846783" w:rsidRPr="004614CC" w:rsidP="00B9203C">
            <w:pPr>
              <w:rPr>
                <w:rFonts w:ascii="Arial" w:hAnsi="Arial" w:cs="Arial"/>
                <w:b/>
                <w:bCs/>
                <w:iCs/>
                <w:color w:val="000000" w:themeColor="text1"/>
                <w:sz w:val="28"/>
              </w:rPr>
            </w:pPr>
          </w:p>
        </w:tc>
      </w:tr>
      <w:tr w:rsidTr="00B9203C">
        <w:tblPrEx>
          <w:tblW w:w="9781" w:type="dxa"/>
          <w:tblLook w:val="04A0"/>
        </w:tblPrEx>
        <w:tc>
          <w:tcPr>
            <w:tcW w:w="9781" w:type="dxa"/>
            <w:gridSpan w:val="2"/>
          </w:tcPr>
          <w:p w:rsidR="00846783" w:rsidRPr="004614CC" w:rsidP="00AF7007">
            <w:pPr>
              <w:rPr>
                <w:rFonts w:ascii="Arial" w:hAnsi="Arial" w:cs="Arial"/>
                <w:b/>
                <w:bCs/>
                <w:iCs/>
                <w:color w:val="000000" w:themeColor="text1"/>
                <w:sz w:val="24"/>
              </w:rPr>
            </w:pPr>
          </w:p>
        </w:tc>
      </w:tr>
      <w:tr w:rsidTr="00B9203C">
        <w:tblPrEx>
          <w:tblW w:w="9781" w:type="dxa"/>
          <w:tblLook w:val="04A0"/>
        </w:tblPrEx>
        <w:tc>
          <w:tcPr>
            <w:tcW w:w="5353" w:type="dxa"/>
          </w:tcPr>
          <w:p w:rsidR="00846783" w:rsidRPr="004614CC" w:rsidP="00B9203C">
            <w:pPr>
              <w:ind w:left="-105"/>
              <w:rPr>
                <w:rFonts w:ascii="Arial" w:hAnsi="Arial" w:cs="Arial"/>
                <w:b/>
                <w:bCs/>
                <w:iCs/>
                <w:color w:val="000000" w:themeColor="text1"/>
                <w:sz w:val="28"/>
              </w:rPr>
            </w:pPr>
            <w:r w:rsidRPr="004614CC">
              <w:rPr>
                <w:rFonts w:ascii="Arial" w:hAnsi="Arial" w:cs="Arial"/>
                <w:b/>
                <w:bCs/>
                <w:iCs/>
                <w:color w:val="000000" w:themeColor="text1"/>
                <w:sz w:val="28"/>
              </w:rPr>
              <w:t>Pension Fund Committee</w:t>
            </w:r>
          </w:p>
        </w:tc>
        <w:tc>
          <w:tcPr>
            <w:tcW w:w="4428" w:type="dxa"/>
          </w:tcPr>
          <w:p w:rsidR="00846783" w:rsidRPr="004614CC" w:rsidP="00B9203C">
            <w:pPr>
              <w:tabs>
                <w:tab w:val="left" w:pos="2830"/>
                <w:tab w:val="right" w:pos="4212"/>
              </w:tabs>
              <w:jc w:val="right"/>
              <w:rPr>
                <w:rFonts w:ascii="Arial" w:hAnsi="Arial" w:cs="Arial"/>
                <w:b/>
                <w:bCs/>
                <w:iCs/>
                <w:color w:val="000000" w:themeColor="text1"/>
                <w:sz w:val="24"/>
              </w:rPr>
            </w:pPr>
            <w:r>
              <w:rPr>
                <w:rFonts w:ascii="Arial" w:hAnsi="Arial" w:cs="Arial"/>
                <w:b/>
                <w:bCs/>
                <w:iCs/>
                <w:color w:val="000000" w:themeColor="text1"/>
                <w:sz w:val="24"/>
              </w:rPr>
              <w:t>7</w:t>
            </w:r>
            <w:r w:rsidRPr="00F24B15">
              <w:rPr>
                <w:rFonts w:ascii="Arial" w:hAnsi="Arial" w:cs="Arial"/>
                <w:b/>
                <w:bCs/>
                <w:iCs/>
                <w:color w:val="000000" w:themeColor="text1"/>
                <w:sz w:val="24"/>
                <w:vertAlign w:val="superscript"/>
              </w:rPr>
              <w:t>th</w:t>
            </w:r>
            <w:r>
              <w:rPr>
                <w:rFonts w:ascii="Arial" w:hAnsi="Arial" w:cs="Arial"/>
                <w:b/>
                <w:bCs/>
                <w:iCs/>
                <w:color w:val="000000" w:themeColor="text1"/>
                <w:sz w:val="24"/>
              </w:rPr>
              <w:t xml:space="preserve"> February 2020</w:t>
            </w:r>
          </w:p>
        </w:tc>
      </w:tr>
      <w:tr w:rsidTr="00B9203C">
        <w:tblPrEx>
          <w:tblW w:w="9781" w:type="dxa"/>
          <w:tblLook w:val="04A0"/>
        </w:tblPrEx>
        <w:tc>
          <w:tcPr>
            <w:tcW w:w="5353" w:type="dxa"/>
          </w:tcPr>
          <w:p w:rsidR="00846783" w:rsidRPr="004614CC" w:rsidP="00B9203C">
            <w:pPr>
              <w:ind w:left="-105"/>
              <w:rPr>
                <w:rFonts w:ascii="Arial" w:hAnsi="Arial" w:cs="Arial"/>
                <w:b/>
                <w:bCs/>
                <w:iCs/>
                <w:color w:val="000000" w:themeColor="text1"/>
                <w:sz w:val="24"/>
                <w:szCs w:val="24"/>
              </w:rPr>
            </w:pPr>
            <w:r w:rsidRPr="004614CC">
              <w:rPr>
                <w:rFonts w:ascii="Arial" w:hAnsi="Arial" w:cs="Arial"/>
                <w:b/>
                <w:bCs/>
                <w:iCs/>
                <w:color w:val="000000" w:themeColor="text1"/>
                <w:sz w:val="24"/>
                <w:szCs w:val="24"/>
              </w:rPr>
              <w:t>Responsible Investment Report</w:t>
            </w:r>
          </w:p>
        </w:tc>
        <w:tc>
          <w:tcPr>
            <w:tcW w:w="4428" w:type="dxa"/>
          </w:tcPr>
          <w:p w:rsidR="00846783" w:rsidRPr="004614CC" w:rsidP="00B9203C">
            <w:pPr>
              <w:jc w:val="right"/>
              <w:rPr>
                <w:rFonts w:ascii="Arial" w:hAnsi="Arial" w:cs="Arial"/>
                <w:b/>
                <w:bCs/>
                <w:iCs/>
                <w:color w:val="000000" w:themeColor="text1"/>
                <w:sz w:val="24"/>
                <w:szCs w:val="24"/>
              </w:rPr>
            </w:pPr>
          </w:p>
        </w:tc>
      </w:tr>
    </w:tbl>
    <w:p w:rsidR="00846783" w:rsidRPr="004614CC" w:rsidP="00846783">
      <w:pPr>
        <w:rPr>
          <w:rFonts w:ascii="Arial" w:hAnsi="Arial" w:cs="Arial"/>
          <w:bCs/>
          <w:iCs/>
          <w:color w:val="000000" w:themeColor="text1"/>
        </w:rPr>
      </w:pPr>
      <w:r w:rsidRPr="004614CC">
        <w:rPr>
          <w:rFonts w:ascii="Arial" w:hAnsi="Arial" w:cs="Arial"/>
          <w:bCs/>
          <w:iCs/>
          <w:color w:val="000000" w:themeColor="text1"/>
        </w:rPr>
        <w:tab/>
      </w:r>
      <w:r w:rsidRPr="004614CC">
        <w:rPr>
          <w:rFonts w:ascii="Arial" w:hAnsi="Arial" w:cs="Arial"/>
          <w:bCs/>
          <w:iCs/>
          <w:color w:val="000000" w:themeColor="text1"/>
        </w:rPr>
        <w:tab/>
      </w:r>
      <w:r w:rsidRPr="004614CC">
        <w:rPr>
          <w:rFonts w:ascii="Arial" w:hAnsi="Arial" w:cs="Arial"/>
          <w:bCs/>
          <w:iCs/>
          <w:color w:val="000000" w:themeColor="text1"/>
        </w:rPr>
        <w:tab/>
        <w:t xml:space="preserve"> </w:t>
      </w:r>
      <w:r w:rsidRPr="004614CC">
        <w:rPr>
          <w:rFonts w:ascii="Arial" w:hAnsi="Arial" w:cs="Arial"/>
          <w:bCs/>
          <w:iCs/>
          <w:color w:val="000000" w:themeColor="text1"/>
        </w:rPr>
        <w:tab/>
      </w:r>
      <w:r w:rsidRPr="004614CC">
        <w:rPr>
          <w:rFonts w:ascii="Arial" w:hAnsi="Arial" w:cs="Arial"/>
          <w:bCs/>
          <w:iCs/>
          <w:color w:val="00000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2523"/>
        <w:gridCol w:w="7229"/>
      </w:tblGrid>
      <w:tr w:rsidTr="00B9203C">
        <w:tblPrEx>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Ex>
        <w:trPr>
          <w:trHeight w:val="461"/>
        </w:trPr>
        <w:tc>
          <w:tcPr>
            <w:tcW w:w="2523" w:type="dxa"/>
            <w:shd w:val="clear" w:color="auto" w:fill="F2F2F2" w:themeFill="background1" w:themeFillShade="F2"/>
          </w:tcPr>
          <w:p w:rsidR="00846783" w:rsidRPr="004614CC" w:rsidP="00B9203C">
            <w:pPr>
              <w:rPr>
                <w:rFonts w:ascii="Arial" w:hAnsi="Arial" w:cs="Arial"/>
                <w:b/>
                <w:bCs/>
                <w:iCs/>
                <w:color w:val="000000" w:themeColor="text1"/>
                <w:sz w:val="20"/>
                <w:szCs w:val="20"/>
              </w:rPr>
            </w:pPr>
            <w:r w:rsidRPr="004614CC">
              <w:rPr>
                <w:rFonts w:ascii="Arial" w:hAnsi="Arial" w:cs="Arial"/>
                <w:b/>
                <w:bCs/>
                <w:iCs/>
                <w:color w:val="000000" w:themeColor="text1"/>
                <w:sz w:val="20"/>
                <w:szCs w:val="20"/>
              </w:rPr>
              <w:t>Title of Paper</w:t>
            </w:r>
          </w:p>
        </w:tc>
        <w:tc>
          <w:tcPr>
            <w:tcW w:w="7229" w:type="dxa"/>
          </w:tcPr>
          <w:p w:rsidR="00846783" w:rsidRPr="004614CC" w:rsidP="00B9203C">
            <w:pPr>
              <w:ind w:left="1338" w:hanging="1338"/>
              <w:rPr>
                <w:rFonts w:ascii="Arial" w:hAnsi="Arial" w:cs="Arial"/>
                <w:bCs/>
                <w:iCs/>
                <w:color w:val="000000" w:themeColor="text1"/>
                <w:sz w:val="20"/>
                <w:szCs w:val="20"/>
              </w:rPr>
            </w:pPr>
            <w:r w:rsidRPr="004614CC">
              <w:rPr>
                <w:rFonts w:ascii="Arial" w:hAnsi="Arial" w:cs="Arial"/>
                <w:bCs/>
                <w:sz w:val="20"/>
                <w:szCs w:val="20"/>
              </w:rPr>
              <w:t>Quarterly Report on Responsible Investment (2019 Q</w:t>
            </w:r>
            <w:r>
              <w:rPr>
                <w:rFonts w:ascii="Arial" w:hAnsi="Arial" w:cs="Arial"/>
                <w:bCs/>
                <w:sz w:val="20"/>
                <w:szCs w:val="20"/>
              </w:rPr>
              <w:t>3</w:t>
            </w:r>
            <w:r w:rsidRPr="004614CC">
              <w:rPr>
                <w:rFonts w:ascii="Arial" w:hAnsi="Arial" w:cs="Arial"/>
                <w:bCs/>
                <w:sz w:val="20"/>
                <w:szCs w:val="20"/>
              </w:rPr>
              <w:t>)</w:t>
            </w:r>
          </w:p>
        </w:tc>
      </w:tr>
      <w:tr w:rsidTr="00B9203C">
        <w:tblPrEx>
          <w:tblW w:w="9752" w:type="dxa"/>
          <w:tblInd w:w="-5" w:type="dxa"/>
          <w:tblLayout w:type="fixed"/>
          <w:tblLook w:val="04A0"/>
        </w:tblPrEx>
        <w:trPr>
          <w:trHeight w:val="632"/>
        </w:trPr>
        <w:tc>
          <w:tcPr>
            <w:tcW w:w="2523" w:type="dxa"/>
            <w:shd w:val="clear" w:color="auto" w:fill="F2F2F2" w:themeFill="background1" w:themeFillShade="F2"/>
          </w:tcPr>
          <w:p w:rsidR="00846783" w:rsidRPr="004614CC" w:rsidP="00B9203C">
            <w:pPr>
              <w:rPr>
                <w:rFonts w:ascii="Arial" w:hAnsi="Arial" w:cs="Arial"/>
                <w:b/>
                <w:bCs/>
                <w:iCs/>
                <w:color w:val="000000" w:themeColor="text1"/>
                <w:sz w:val="20"/>
                <w:szCs w:val="20"/>
              </w:rPr>
            </w:pPr>
            <w:r w:rsidRPr="004614CC">
              <w:rPr>
                <w:rFonts w:ascii="Arial" w:hAnsi="Arial" w:cs="Arial"/>
                <w:b/>
                <w:bCs/>
                <w:iCs/>
                <w:color w:val="000000" w:themeColor="text1"/>
                <w:sz w:val="20"/>
                <w:szCs w:val="20"/>
              </w:rPr>
              <w:t>Lead Officer:</w:t>
            </w:r>
          </w:p>
        </w:tc>
        <w:tc>
          <w:tcPr>
            <w:tcW w:w="7229" w:type="dxa"/>
          </w:tcPr>
          <w:p w:rsidR="00846783" w:rsidRPr="004614CC" w:rsidP="00F24B15">
            <w:pPr>
              <w:spacing w:after="0"/>
              <w:ind w:left="1338" w:hanging="1338"/>
              <w:rPr>
                <w:rFonts w:ascii="Arial" w:hAnsi="Arial" w:cs="Arial"/>
                <w:bCs/>
                <w:sz w:val="20"/>
                <w:szCs w:val="20"/>
              </w:rPr>
            </w:pPr>
            <w:r w:rsidRPr="004614CC">
              <w:rPr>
                <w:rFonts w:ascii="Arial" w:hAnsi="Arial" w:cs="Arial"/>
                <w:bCs/>
                <w:sz w:val="20"/>
                <w:szCs w:val="20"/>
              </w:rPr>
              <w:t>Frances Deakin</w:t>
            </w:r>
            <w:r>
              <w:rPr>
                <w:rFonts w:ascii="Arial" w:hAnsi="Arial" w:cs="Arial"/>
                <w:bCs/>
                <w:sz w:val="20"/>
                <w:szCs w:val="20"/>
              </w:rPr>
              <w:t xml:space="preserve">, </w:t>
            </w:r>
            <w:r w:rsidRPr="004614CC">
              <w:rPr>
                <w:rFonts w:ascii="Arial" w:hAnsi="Arial" w:cs="Arial"/>
                <w:bCs/>
                <w:sz w:val="20"/>
                <w:szCs w:val="20"/>
              </w:rPr>
              <w:t xml:space="preserve"> </w:t>
            </w:r>
            <w:r w:rsidRPr="004614CC">
              <w:rPr>
                <w:rFonts w:ascii="Arial" w:hAnsi="Arial" w:cs="Arial"/>
                <w:bCs/>
                <w:sz w:val="20"/>
                <w:szCs w:val="20"/>
              </w:rPr>
              <w:t>Head of Responsible Investment</w:t>
            </w:r>
          </w:p>
          <w:p w:rsidR="00846783" w:rsidRPr="004614CC" w:rsidP="00F24B15">
            <w:pPr>
              <w:spacing w:after="0"/>
              <w:ind w:left="1338" w:hanging="1338"/>
              <w:rPr>
                <w:rFonts w:ascii="Arial" w:hAnsi="Arial" w:cs="Arial"/>
                <w:bCs/>
                <w:sz w:val="20"/>
                <w:szCs w:val="20"/>
              </w:rPr>
            </w:pPr>
            <w:r w:rsidRPr="004614CC">
              <w:rPr>
                <w:rFonts w:ascii="Arial" w:hAnsi="Arial" w:cs="Arial"/>
                <w:bCs/>
                <w:sz w:val="20"/>
                <w:szCs w:val="20"/>
              </w:rPr>
              <w:t xml:space="preserve">Local Pensions Partnership Investments Ltd </w:t>
            </w:r>
          </w:p>
          <w:p w:rsidR="00846783" w:rsidRPr="004614CC" w:rsidP="00F24B15">
            <w:pPr>
              <w:spacing w:after="0"/>
              <w:rPr>
                <w:rFonts w:ascii="Arial" w:hAnsi="Arial" w:cs="Arial"/>
                <w:bCs/>
                <w:iCs/>
                <w:color w:val="000000" w:themeColor="text1"/>
                <w:sz w:val="20"/>
                <w:szCs w:val="20"/>
              </w:rPr>
            </w:pPr>
            <w:r>
              <w:fldChar w:fldCharType="begin"/>
            </w:r>
            <w:r>
              <w:instrText xml:space="preserve"> HYPERLINK "mailto:frances.deakin@localpensionspartnership.org.uk" </w:instrText>
            </w:r>
            <w:r>
              <w:fldChar w:fldCharType="separate"/>
            </w:r>
            <w:r w:rsidRPr="004614CC">
              <w:rPr>
                <w:rStyle w:val="Hyperlink"/>
                <w:rFonts w:ascii="Arial" w:hAnsi="Arial" w:cs="Arial"/>
                <w:bCs/>
                <w:iCs/>
                <w:color w:val="000000" w:themeColor="text1"/>
                <w:sz w:val="20"/>
                <w:szCs w:val="20"/>
              </w:rPr>
              <w:t>frances.deakin@localpensionspartnership.org.uk</w:t>
            </w:r>
            <w:r>
              <w:fldChar w:fldCharType="end"/>
            </w:r>
          </w:p>
        </w:tc>
      </w:tr>
      <w:tr w:rsidTr="00B9203C">
        <w:tblPrEx>
          <w:tblW w:w="9752" w:type="dxa"/>
          <w:tblInd w:w="-5" w:type="dxa"/>
          <w:tblLayout w:type="fixed"/>
          <w:tblLook w:val="04A0"/>
        </w:tblPrEx>
        <w:trPr>
          <w:trHeight w:val="456"/>
        </w:trPr>
        <w:tc>
          <w:tcPr>
            <w:tcW w:w="2523" w:type="dxa"/>
            <w:shd w:val="clear" w:color="auto" w:fill="F2F2F2" w:themeFill="background1" w:themeFillShade="F2"/>
          </w:tcPr>
          <w:p w:rsidR="00846783" w:rsidRPr="004614CC" w:rsidP="00B9203C">
            <w:pPr>
              <w:rPr>
                <w:rFonts w:ascii="Arial" w:hAnsi="Arial" w:cs="Arial"/>
                <w:b/>
                <w:bCs/>
                <w:iCs/>
                <w:color w:val="000000" w:themeColor="text1"/>
                <w:sz w:val="20"/>
                <w:szCs w:val="20"/>
              </w:rPr>
            </w:pPr>
            <w:r w:rsidRPr="004614CC">
              <w:rPr>
                <w:rFonts w:ascii="Arial" w:hAnsi="Arial" w:cs="Arial"/>
                <w:b/>
                <w:bCs/>
                <w:iCs/>
                <w:color w:val="000000" w:themeColor="text1"/>
                <w:sz w:val="20"/>
                <w:szCs w:val="20"/>
              </w:rPr>
              <w:t xml:space="preserve">Appendices </w:t>
            </w:r>
          </w:p>
        </w:tc>
        <w:tc>
          <w:tcPr>
            <w:tcW w:w="7229" w:type="dxa"/>
          </w:tcPr>
          <w:p w:rsidR="00846783" w:rsidRPr="004614CC" w:rsidP="00F24B15">
            <w:pPr>
              <w:ind w:left="1338" w:hanging="1338"/>
              <w:rPr>
                <w:rFonts w:ascii="Arial" w:hAnsi="Arial" w:cs="Arial"/>
                <w:bCs/>
                <w:sz w:val="20"/>
                <w:szCs w:val="20"/>
              </w:rPr>
            </w:pPr>
            <w:r w:rsidRPr="004614CC">
              <w:rPr>
                <w:rFonts w:ascii="Arial" w:hAnsi="Arial" w:cs="Arial"/>
                <w:bCs/>
                <w:sz w:val="20"/>
                <w:szCs w:val="20"/>
              </w:rPr>
              <w:t>None</w:t>
            </w:r>
          </w:p>
        </w:tc>
      </w:tr>
    </w:tbl>
    <w:p w:rsidR="00846783" w:rsidRPr="007200A7" w:rsidP="00846783">
      <w:pPr>
        <w:spacing w:after="0" w:line="240" w:lineRule="auto"/>
        <w:rPr>
          <w:rFonts w:ascii="Verdana" w:hAnsi="Verdana" w:cs="Arial"/>
          <w:b/>
          <w:bCs/>
          <w:color w:val="000000" w:themeColor="text1"/>
          <w:sz w:val="20"/>
          <w:szCs w:val="20"/>
        </w:rPr>
      </w:pPr>
    </w:p>
    <w:p w:rsidR="00846783" w:rsidRPr="004614CC" w:rsidP="00846783">
      <w:pPr>
        <w:pStyle w:val="treb"/>
        <w:numPr>
          <w:ilvl w:val="0"/>
          <w:numId w:val="2"/>
        </w:numPr>
        <w:spacing w:after="0"/>
        <w:ind w:left="0" w:firstLine="0"/>
        <w:rPr>
          <w:rFonts w:ascii="Arial" w:hAnsi="Arial"/>
          <w:color w:val="44546A" w:themeColor="text2"/>
          <w:sz w:val="20"/>
          <w:szCs w:val="20"/>
        </w:rPr>
      </w:pPr>
      <w:r w:rsidRPr="004614CC">
        <w:rPr>
          <w:rFonts w:ascii="Arial" w:hAnsi="Arial"/>
          <w:color w:val="44546A" w:themeColor="text2"/>
          <w:sz w:val="20"/>
          <w:szCs w:val="20"/>
        </w:rPr>
        <w:t>Executive</w:t>
      </w:r>
      <w:r w:rsidRPr="004614CC">
        <w:rPr>
          <w:rFonts w:ascii="Arial" w:hAnsi="Arial"/>
          <w:color w:val="44546A" w:themeColor="text2"/>
          <w:sz w:val="20"/>
          <w:szCs w:val="20"/>
        </w:rPr>
        <w:t xml:space="preserve"> Summary</w:t>
      </w:r>
    </w:p>
    <w:p w:rsidR="00846783" w:rsidRPr="004614CC" w:rsidP="00846783">
      <w:pPr>
        <w:pStyle w:val="treb"/>
        <w:numPr>
          <w:ilvl w:val="0"/>
          <w:numId w:val="0"/>
        </w:numPr>
        <w:spacing w:after="0"/>
        <w:rPr>
          <w:rFonts w:ascii="Arial" w:hAnsi="Arial"/>
          <w:b w:val="0"/>
          <w:color w:val="000000" w:themeColor="text1"/>
          <w:sz w:val="20"/>
          <w:szCs w:val="20"/>
        </w:rPr>
      </w:pPr>
    </w:p>
    <w:p w:rsidR="00846783" w:rsidRPr="004614CC" w:rsidP="00846783">
      <w:pPr>
        <w:pStyle w:val="treb"/>
        <w:numPr>
          <w:ilvl w:val="0"/>
          <w:numId w:val="0"/>
        </w:numPr>
        <w:spacing w:after="0"/>
        <w:rPr>
          <w:rFonts w:ascii="Arial" w:hAnsi="Arial"/>
          <w:b w:val="0"/>
          <w:sz w:val="20"/>
          <w:szCs w:val="20"/>
        </w:rPr>
      </w:pPr>
      <w:r w:rsidRPr="004614CC">
        <w:rPr>
          <w:rFonts w:ascii="Arial" w:hAnsi="Arial"/>
          <w:b w:val="0"/>
          <w:sz w:val="20"/>
          <w:szCs w:val="20"/>
        </w:rPr>
        <w:t>This report provides members of the Pension Fund Committee of Lancashire County Pension Fund (LCPF) with a quarterly update on Responsible Investment (RI) matters.</w:t>
      </w:r>
    </w:p>
    <w:p w:rsidR="00846783" w:rsidRPr="004614CC" w:rsidP="00846783">
      <w:pPr>
        <w:pStyle w:val="treb"/>
        <w:numPr>
          <w:ilvl w:val="0"/>
          <w:numId w:val="0"/>
        </w:numPr>
        <w:spacing w:after="0"/>
        <w:rPr>
          <w:rFonts w:ascii="Arial" w:hAnsi="Arial"/>
          <w:b w:val="0"/>
          <w:color w:val="54BBAB"/>
          <w:sz w:val="20"/>
          <w:szCs w:val="20"/>
        </w:rPr>
      </w:pPr>
    </w:p>
    <w:p w:rsidR="00846783" w:rsidRPr="004614CC" w:rsidP="00846783">
      <w:pPr>
        <w:pStyle w:val="treb"/>
        <w:numPr>
          <w:ilvl w:val="0"/>
          <w:numId w:val="2"/>
        </w:numPr>
        <w:spacing w:after="0"/>
        <w:ind w:hanging="720"/>
        <w:rPr>
          <w:rFonts w:ascii="Arial" w:hAnsi="Arial"/>
          <w:color w:val="54BBAB"/>
          <w:sz w:val="20"/>
          <w:szCs w:val="20"/>
        </w:rPr>
      </w:pPr>
      <w:r w:rsidRPr="004614CC">
        <w:rPr>
          <w:rFonts w:ascii="Arial" w:hAnsi="Arial"/>
          <w:color w:val="54BBAB"/>
          <w:sz w:val="20"/>
          <w:szCs w:val="20"/>
        </w:rPr>
        <w:t>Introduction</w:t>
      </w:r>
    </w:p>
    <w:p w:rsidR="00846783" w:rsidRPr="004614CC" w:rsidP="00846783">
      <w:pPr>
        <w:autoSpaceDE w:val="0"/>
        <w:autoSpaceDN w:val="0"/>
        <w:adjustRightInd w:val="0"/>
        <w:spacing w:after="0"/>
        <w:jc w:val="both"/>
        <w:rPr>
          <w:rFonts w:ascii="Arial" w:hAnsi="Arial" w:cs="Arial"/>
          <w:color w:val="54BBAB"/>
          <w:sz w:val="20"/>
          <w:szCs w:val="20"/>
        </w:rPr>
      </w:pPr>
    </w:p>
    <w:p w:rsidR="00846783" w:rsidRPr="004614CC" w:rsidP="00846783">
      <w:pPr>
        <w:autoSpaceDE w:val="0"/>
        <w:autoSpaceDN w:val="0"/>
        <w:adjustRightInd w:val="0"/>
        <w:spacing w:after="0"/>
        <w:jc w:val="both"/>
        <w:rPr>
          <w:rFonts w:ascii="Arial" w:hAnsi="Arial" w:cs="Arial"/>
          <w:sz w:val="20"/>
          <w:szCs w:val="20"/>
        </w:rPr>
      </w:pPr>
      <w:r w:rsidRPr="004614CC">
        <w:rPr>
          <w:rFonts w:ascii="Arial" w:hAnsi="Arial" w:cs="Arial"/>
          <w:sz w:val="20"/>
          <w:szCs w:val="20"/>
        </w:rPr>
        <w:t xml:space="preserve">The Fund's approach to RI is articulated within an Investment </w:t>
      </w:r>
      <w:r w:rsidRPr="004614CC">
        <w:rPr>
          <w:rFonts w:ascii="Arial" w:hAnsi="Arial" w:cs="Arial"/>
          <w:sz w:val="20"/>
          <w:szCs w:val="20"/>
        </w:rPr>
        <w:t>Strategy Statement (ISS) which confirms that the objective of RI is to decrease investor risk, improve risk-adjusted returns and assist the Fund's adherence to the UK Stewardship Code. LCPF’s ISS is supplemented by a Responsible Investment Policy which exp</w:t>
      </w:r>
      <w:r w:rsidRPr="004614CC">
        <w:rPr>
          <w:rFonts w:ascii="Arial" w:hAnsi="Arial" w:cs="Arial"/>
          <w:sz w:val="20"/>
          <w:szCs w:val="20"/>
        </w:rPr>
        <w:t>lains that the Fund's preferred approach to RI encompasses four main areas of activity:</w:t>
      </w:r>
    </w:p>
    <w:p w:rsidR="00846783" w:rsidRPr="004614CC"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Voting Globally</w:t>
      </w:r>
    </w:p>
    <w:p w:rsidR="00846783" w:rsidRPr="004614CC"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Engagement through Partnerships</w:t>
      </w:r>
    </w:p>
    <w:p w:rsidR="00846783" w:rsidRPr="004614CC"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Shareholder Litigation</w:t>
      </w:r>
    </w:p>
    <w:p w:rsidR="00846783" w:rsidRPr="004614CC"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Active Investing</w:t>
      </w:r>
    </w:p>
    <w:p w:rsidR="00846783" w:rsidRPr="004614CC" w:rsidP="00846783">
      <w:pPr>
        <w:autoSpaceDE w:val="0"/>
        <w:autoSpaceDN w:val="0"/>
        <w:adjustRightInd w:val="0"/>
        <w:spacing w:after="0"/>
        <w:jc w:val="both"/>
        <w:rPr>
          <w:rFonts w:ascii="Arial" w:hAnsi="Arial" w:cs="Arial"/>
          <w:sz w:val="20"/>
          <w:szCs w:val="20"/>
        </w:rPr>
      </w:pPr>
    </w:p>
    <w:p w:rsidR="00846783" w:rsidRPr="004614CC" w:rsidP="00846783">
      <w:pPr>
        <w:pStyle w:val="treb"/>
        <w:numPr>
          <w:ilvl w:val="0"/>
          <w:numId w:val="0"/>
        </w:numPr>
        <w:spacing w:after="0"/>
        <w:rPr>
          <w:rFonts w:ascii="Arial" w:hAnsi="Arial"/>
          <w:b w:val="0"/>
          <w:sz w:val="20"/>
          <w:szCs w:val="20"/>
        </w:rPr>
      </w:pPr>
      <w:r w:rsidRPr="004614CC">
        <w:rPr>
          <w:rFonts w:ascii="Arial" w:hAnsi="Arial"/>
          <w:b w:val="0"/>
          <w:sz w:val="20"/>
          <w:szCs w:val="20"/>
        </w:rPr>
        <w:t>Responsibility for the practical implementation of the Fund's approach to RI is</w:t>
      </w:r>
      <w:r w:rsidRPr="004614CC">
        <w:rPr>
          <w:rFonts w:ascii="Arial" w:hAnsi="Arial"/>
          <w:b w:val="0"/>
          <w:sz w:val="20"/>
          <w:szCs w:val="20"/>
        </w:rPr>
        <w:t xml:space="preserve"> devolved to Local Pensions Partnership Investments Ltd (LPPI) as LCPF's provider of investment management services. The report which follows provides the Committee with an update on RI activity during the period </w:t>
      </w:r>
      <w:r>
        <w:rPr>
          <w:rFonts w:ascii="Arial" w:hAnsi="Arial"/>
          <w:b w:val="0"/>
          <w:sz w:val="20"/>
          <w:szCs w:val="20"/>
        </w:rPr>
        <w:t xml:space="preserve">1 July to 30 September </w:t>
      </w:r>
      <w:r w:rsidRPr="004614CC">
        <w:rPr>
          <w:rFonts w:ascii="Arial" w:hAnsi="Arial"/>
          <w:b w:val="0"/>
          <w:sz w:val="20"/>
          <w:szCs w:val="20"/>
        </w:rPr>
        <w:t>2019 plus insights o</w:t>
      </w:r>
      <w:r w:rsidRPr="004614CC">
        <w:rPr>
          <w:rFonts w:ascii="Arial" w:hAnsi="Arial"/>
          <w:b w:val="0"/>
          <w:sz w:val="20"/>
          <w:szCs w:val="20"/>
        </w:rPr>
        <w:t xml:space="preserve">n current and emerging issues. </w:t>
      </w:r>
    </w:p>
    <w:p w:rsidR="00846783" w:rsidRPr="004614CC" w:rsidP="00846783">
      <w:pPr>
        <w:autoSpaceDE w:val="0"/>
        <w:autoSpaceDN w:val="0"/>
        <w:adjustRightInd w:val="0"/>
        <w:spacing w:after="0"/>
        <w:jc w:val="both"/>
        <w:rPr>
          <w:rFonts w:ascii="Arial" w:hAnsi="Arial" w:cs="Arial"/>
          <w:color w:val="000000" w:themeColor="text1"/>
          <w:sz w:val="20"/>
          <w:szCs w:val="20"/>
        </w:rPr>
      </w:pPr>
    </w:p>
    <w:p w:rsidR="00846783" w:rsidRPr="004614CC" w:rsidP="00846783">
      <w:pPr>
        <w:pStyle w:val="treb"/>
        <w:numPr>
          <w:ilvl w:val="0"/>
          <w:numId w:val="2"/>
        </w:numPr>
        <w:spacing w:after="0"/>
        <w:ind w:left="0" w:firstLine="0"/>
        <w:rPr>
          <w:rFonts w:ascii="Arial" w:hAnsi="Arial"/>
          <w:color w:val="44546A" w:themeColor="text2"/>
          <w:sz w:val="20"/>
          <w:szCs w:val="20"/>
        </w:rPr>
      </w:pPr>
      <w:r w:rsidRPr="004614CC">
        <w:rPr>
          <w:rFonts w:ascii="Arial" w:hAnsi="Arial"/>
          <w:color w:val="44546A" w:themeColor="text2"/>
          <w:sz w:val="20"/>
          <w:szCs w:val="20"/>
        </w:rPr>
        <w:t>Voting Globally</w:t>
      </w:r>
    </w:p>
    <w:p w:rsidR="00846783" w:rsidRPr="004614CC" w:rsidP="00846783">
      <w:pPr>
        <w:pStyle w:val="treb"/>
        <w:numPr>
          <w:ilvl w:val="0"/>
          <w:numId w:val="0"/>
        </w:numPr>
        <w:spacing w:after="0"/>
        <w:rPr>
          <w:rFonts w:ascii="Arial" w:hAnsi="Arial"/>
          <w:color w:val="000000" w:themeColor="text1"/>
          <w:sz w:val="20"/>
          <w:szCs w:val="20"/>
        </w:rPr>
      </w:pPr>
    </w:p>
    <w:p w:rsidR="00846783" w:rsidRPr="004614CC" w:rsidP="00846783">
      <w:pPr>
        <w:autoSpaceDE w:val="0"/>
        <w:autoSpaceDN w:val="0"/>
        <w:adjustRightInd w:val="0"/>
        <w:spacing w:after="0"/>
        <w:rPr>
          <w:rFonts w:ascii="Arial" w:hAnsi="Arial" w:cs="Arial"/>
          <w:bCs/>
          <w:sz w:val="20"/>
          <w:szCs w:val="20"/>
        </w:rPr>
      </w:pPr>
      <w:r w:rsidRPr="004614CC">
        <w:rPr>
          <w:rFonts w:ascii="Arial" w:hAnsi="Arial" w:cs="Arial"/>
          <w:bCs/>
          <w:sz w:val="20"/>
          <w:szCs w:val="20"/>
        </w:rPr>
        <w:t xml:space="preserve">Through its investment in the LPPI Global Equities Fund (GEF) LCPF owns units in a pooled fund which invests in listed companies globally. Investors in the GEF delegate the control and exercise of </w:t>
      </w:r>
      <w:r w:rsidRPr="004614CC">
        <w:rPr>
          <w:rFonts w:ascii="Arial" w:hAnsi="Arial" w:cs="Arial"/>
          <w:bCs/>
          <w:sz w:val="20"/>
          <w:szCs w:val="20"/>
        </w:rPr>
        <w:t>shareholder voting to LPPI. This</w:t>
      </w:r>
      <w:r w:rsidRPr="004614CC">
        <w:rPr>
          <w:rFonts w:ascii="Arial" w:hAnsi="Arial" w:cs="Arial"/>
          <w:sz w:val="20"/>
          <w:szCs w:val="20"/>
        </w:rPr>
        <w:t xml:space="preserve"> </w:t>
      </w:r>
      <w:r w:rsidRPr="004614CC">
        <w:rPr>
          <w:rFonts w:ascii="Arial" w:hAnsi="Arial" w:cs="Arial"/>
          <w:bCs/>
          <w:sz w:val="20"/>
          <w:szCs w:val="20"/>
        </w:rPr>
        <w:t xml:space="preserve">reflects that clients owning units in the GEF are beneficial owners in common but do not directly own shares in underlying companies. </w:t>
      </w:r>
    </w:p>
    <w:p w:rsidR="00846783" w:rsidRPr="004614CC" w:rsidP="00846783">
      <w:pPr>
        <w:autoSpaceDE w:val="0"/>
        <w:autoSpaceDN w:val="0"/>
        <w:adjustRightInd w:val="0"/>
        <w:spacing w:after="0"/>
        <w:rPr>
          <w:rFonts w:ascii="Arial" w:hAnsi="Arial" w:cs="Arial"/>
          <w:bCs/>
          <w:sz w:val="20"/>
          <w:szCs w:val="20"/>
        </w:rPr>
      </w:pPr>
    </w:p>
    <w:p w:rsidR="00846783" w:rsidRPr="004614CC" w:rsidP="00846783">
      <w:pPr>
        <w:autoSpaceDE w:val="0"/>
        <w:autoSpaceDN w:val="0"/>
        <w:adjustRightInd w:val="0"/>
        <w:spacing w:after="0"/>
        <w:rPr>
          <w:rFonts w:ascii="Arial" w:hAnsi="Arial" w:cs="Arial"/>
          <w:bCs/>
          <w:sz w:val="20"/>
          <w:szCs w:val="20"/>
        </w:rPr>
      </w:pPr>
      <w:r w:rsidRPr="004614CC">
        <w:rPr>
          <w:rFonts w:ascii="Arial" w:hAnsi="Arial" w:cs="Arial"/>
          <w:bCs/>
          <w:sz w:val="20"/>
          <w:szCs w:val="20"/>
        </w:rPr>
        <w:t>LPPI exercise</w:t>
      </w:r>
      <w:r>
        <w:rPr>
          <w:rFonts w:ascii="Arial" w:hAnsi="Arial" w:cs="Arial"/>
          <w:bCs/>
          <w:sz w:val="20"/>
          <w:szCs w:val="20"/>
        </w:rPr>
        <w:t>s</w:t>
      </w:r>
      <w:r w:rsidRPr="004614CC">
        <w:rPr>
          <w:rFonts w:ascii="Arial" w:hAnsi="Arial" w:cs="Arial"/>
          <w:bCs/>
          <w:sz w:val="20"/>
          <w:szCs w:val="20"/>
        </w:rPr>
        <w:t xml:space="preserve"> shareholder voting rights for the GEF centrally rather than delegating voting to individual asset managers and take</w:t>
      </w:r>
      <w:r>
        <w:rPr>
          <w:rFonts w:ascii="Arial" w:hAnsi="Arial" w:cs="Arial"/>
          <w:bCs/>
          <w:sz w:val="20"/>
          <w:szCs w:val="20"/>
        </w:rPr>
        <w:t>s</w:t>
      </w:r>
      <w:r w:rsidRPr="004614CC">
        <w:rPr>
          <w:rFonts w:ascii="Arial" w:hAnsi="Arial" w:cs="Arial"/>
          <w:bCs/>
          <w:sz w:val="20"/>
          <w:szCs w:val="20"/>
        </w:rPr>
        <w:t xml:space="preserve"> account of voting recommendations from an external provider of proxy voting and governance research (ISS) in accordance a Sustainability V</w:t>
      </w:r>
      <w:r w:rsidRPr="004614CC">
        <w:rPr>
          <w:rFonts w:ascii="Arial" w:hAnsi="Arial" w:cs="Arial"/>
          <w:bCs/>
          <w:sz w:val="20"/>
          <w:szCs w:val="20"/>
        </w:rPr>
        <w:t>oting Policy designed to ensure the consideration of ESG factors within analysis. LPPI review</w:t>
      </w:r>
      <w:r>
        <w:rPr>
          <w:rFonts w:ascii="Arial" w:hAnsi="Arial" w:cs="Arial"/>
          <w:bCs/>
          <w:sz w:val="20"/>
          <w:szCs w:val="20"/>
        </w:rPr>
        <w:t>s</w:t>
      </w:r>
      <w:r w:rsidRPr="004614CC">
        <w:rPr>
          <w:rFonts w:ascii="Arial" w:hAnsi="Arial" w:cs="Arial"/>
          <w:bCs/>
          <w:sz w:val="20"/>
          <w:szCs w:val="20"/>
        </w:rPr>
        <w:t xml:space="preserve"> voting recommendations and take</w:t>
      </w:r>
      <w:r>
        <w:rPr>
          <w:rFonts w:ascii="Arial" w:hAnsi="Arial" w:cs="Arial"/>
          <w:bCs/>
          <w:sz w:val="20"/>
          <w:szCs w:val="20"/>
        </w:rPr>
        <w:t>s</w:t>
      </w:r>
      <w:r w:rsidRPr="004614CC">
        <w:rPr>
          <w:rFonts w:ascii="Arial" w:hAnsi="Arial" w:cs="Arial"/>
          <w:bCs/>
          <w:sz w:val="20"/>
          <w:szCs w:val="20"/>
        </w:rPr>
        <w:t xml:space="preserve"> the final decision on all voting.</w:t>
      </w:r>
    </w:p>
    <w:p w:rsidR="00846783" w:rsidRPr="004614CC" w:rsidP="00846783">
      <w:pPr>
        <w:autoSpaceDE w:val="0"/>
        <w:autoSpaceDN w:val="0"/>
        <w:adjustRightInd w:val="0"/>
        <w:spacing w:after="0"/>
        <w:rPr>
          <w:rFonts w:ascii="Arial" w:hAnsi="Arial" w:cs="Arial"/>
          <w:bCs/>
          <w:sz w:val="20"/>
          <w:szCs w:val="20"/>
        </w:rPr>
      </w:pPr>
      <w:r w:rsidRPr="004614CC">
        <w:rPr>
          <w:rFonts w:ascii="Arial" w:hAnsi="Arial" w:cs="Arial"/>
          <w:bCs/>
          <w:sz w:val="20"/>
          <w:szCs w:val="20"/>
        </w:rPr>
        <w:t xml:space="preserve"> </w:t>
      </w:r>
    </w:p>
    <w:p w:rsidR="00846783" w:rsidRPr="004614CC" w:rsidP="00846783">
      <w:pPr>
        <w:autoSpaceDE w:val="0"/>
        <w:autoSpaceDN w:val="0"/>
        <w:adjustRightInd w:val="0"/>
        <w:spacing w:after="0"/>
        <w:rPr>
          <w:rFonts w:ascii="Arial" w:hAnsi="Arial" w:cs="Arial"/>
          <w:bCs/>
          <w:sz w:val="20"/>
          <w:szCs w:val="20"/>
        </w:rPr>
      </w:pPr>
      <w:r w:rsidRPr="004614CC">
        <w:rPr>
          <w:rFonts w:ascii="Arial" w:hAnsi="Arial" w:cs="Arial"/>
          <w:bCs/>
          <w:sz w:val="20"/>
          <w:szCs w:val="20"/>
        </w:rPr>
        <w:t xml:space="preserve">In the </w:t>
      </w:r>
      <w:r>
        <w:rPr>
          <w:rFonts w:ascii="Arial" w:hAnsi="Arial" w:cs="Arial"/>
          <w:bCs/>
          <w:sz w:val="20"/>
          <w:szCs w:val="20"/>
        </w:rPr>
        <w:t>third</w:t>
      </w:r>
      <w:r w:rsidRPr="004614CC">
        <w:rPr>
          <w:rFonts w:ascii="Arial" w:hAnsi="Arial" w:cs="Arial"/>
          <w:bCs/>
          <w:sz w:val="20"/>
          <w:szCs w:val="20"/>
        </w:rPr>
        <w:t xml:space="preserve"> quarter of 2019</w:t>
      </w:r>
      <w:r>
        <w:rPr>
          <w:rFonts w:ascii="Arial" w:hAnsi="Arial" w:cs="Arial"/>
          <w:bCs/>
          <w:sz w:val="20"/>
          <w:szCs w:val="20"/>
        </w:rPr>
        <w:t xml:space="preserve"> </w:t>
      </w:r>
      <w:r w:rsidRPr="004614CC">
        <w:rPr>
          <w:rFonts w:ascii="Arial" w:hAnsi="Arial" w:cs="Arial"/>
          <w:bCs/>
          <w:sz w:val="20"/>
          <w:szCs w:val="20"/>
        </w:rPr>
        <w:t>shareholder voting headlines for the GEF were as follows:</w:t>
      </w:r>
    </w:p>
    <w:p w:rsidR="00846783" w:rsidRPr="004614CC" w:rsidP="00846783">
      <w:pPr>
        <w:autoSpaceDE w:val="0"/>
        <w:autoSpaceDN w:val="0"/>
        <w:adjustRightInd w:val="0"/>
        <w:spacing w:after="0"/>
        <w:rPr>
          <w:rFonts w:ascii="Arial" w:hAnsi="Arial" w:cs="Arial"/>
          <w:bCs/>
          <w:sz w:val="20"/>
          <w:szCs w:val="20"/>
          <w:u w:val="single"/>
        </w:rPr>
      </w:pPr>
    </w:p>
    <w:p w:rsidR="00846783" w:rsidP="00846783">
      <w:pPr>
        <w:spacing w:after="0"/>
        <w:rPr>
          <w:rFonts w:ascii="Arial" w:hAnsi="Arial" w:cs="Arial"/>
          <w:bCs/>
          <w:sz w:val="20"/>
          <w:szCs w:val="20"/>
          <w:u w:val="single"/>
        </w:rPr>
      </w:pPr>
      <w:r w:rsidRPr="004614CC">
        <w:rPr>
          <w:rFonts w:ascii="Arial" w:hAnsi="Arial" w:cs="Arial"/>
          <w:bCs/>
          <w:sz w:val="20"/>
          <w:szCs w:val="20"/>
          <w:u w:val="single"/>
        </w:rPr>
        <w:t>LPPI</w:t>
      </w:r>
      <w:r w:rsidRPr="004614CC">
        <w:rPr>
          <w:rFonts w:ascii="Arial" w:hAnsi="Arial" w:cs="Arial"/>
          <w:bCs/>
          <w:sz w:val="20"/>
          <w:szCs w:val="20"/>
          <w:u w:val="single"/>
        </w:rPr>
        <w:t xml:space="preserve"> Global Equities Fund (GEF)</w:t>
      </w:r>
    </w:p>
    <w:p w:rsidR="00D62B8F" w:rsidRPr="004614CC" w:rsidP="00846783">
      <w:pPr>
        <w:spacing w:after="0"/>
        <w:rPr>
          <w:rFonts w:ascii="Arial" w:hAnsi="Arial" w:cs="Arial"/>
          <w:bCs/>
          <w:sz w:val="20"/>
          <w:szCs w:val="20"/>
          <w:u w:val="single"/>
        </w:rPr>
      </w:pPr>
    </w:p>
    <w:p w:rsidR="00846783" w:rsidRPr="004614CC" w:rsidP="00846783">
      <w:pPr>
        <w:pStyle w:val="ListParagraph"/>
        <w:spacing w:after="0"/>
        <w:ind w:left="0"/>
        <w:rPr>
          <w:rFonts w:ascii="Arial" w:hAnsi="Arial" w:cs="Arial"/>
          <w:u w:val="single"/>
        </w:rPr>
      </w:pPr>
      <w:r w:rsidRPr="00D62B8F">
        <w:rPr>
          <w:noProof/>
          <w:lang w:eastAsia="en-GB"/>
        </w:rPr>
        <w:drawing>
          <wp:inline distT="0" distB="0" distL="0" distR="0">
            <wp:extent cx="43148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953876" name=""/>
                    <pic:cNvPicPr/>
                  </pic:nvPicPr>
                  <pic:blipFill>
                    <a:blip xmlns:r="http://schemas.openxmlformats.org/officeDocument/2006/relationships" r:embed="rId4"/>
                    <a:stretch>
                      <a:fillRect/>
                    </a:stretch>
                  </pic:blipFill>
                  <pic:spPr>
                    <a:xfrm>
                      <a:off x="0" y="0"/>
                      <a:ext cx="4314825" cy="1057275"/>
                    </a:xfrm>
                    <a:prstGeom prst="rect">
                      <a:avLst/>
                    </a:prstGeom>
                  </pic:spPr>
                </pic:pic>
              </a:graphicData>
            </a:graphic>
          </wp:inline>
        </w:drawing>
      </w:r>
    </w:p>
    <w:p w:rsidR="00846783" w:rsidRPr="00D62B8F" w:rsidP="00D62B8F">
      <w:pPr>
        <w:spacing w:after="0"/>
        <w:rPr>
          <w:rFonts w:ascii="Arial" w:hAnsi="Arial" w:cs="Arial"/>
          <w:highlight w:val="yellow"/>
          <w:u w:val="single"/>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1078258</wp:posOffset>
            </wp:positionV>
            <wp:extent cx="3792220" cy="12096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28825" name=""/>
                    <pic:cNvPicPr/>
                  </pic:nvPicPr>
                  <pic:blipFill rotWithShape="1">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447"/>
                    <a:stretch>
                      <a:fillRect/>
                    </a:stretch>
                  </pic:blipFill>
                  <pic:spPr bwMode="auto">
                    <a:xfrm>
                      <a:off x="0" y="0"/>
                      <a:ext cx="3792220" cy="120967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380475</wp:posOffset>
            </wp:positionV>
            <wp:extent cx="3771265" cy="2428875"/>
            <wp:effectExtent l="0" t="0" r="635"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91842" name=""/>
                    <pic:cNvPicPr/>
                  </pic:nvPicPr>
                  <pic:blipFill rotWithShape="1">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1249"/>
                    <a:stretch>
                      <a:fillRect/>
                    </a:stretch>
                  </pic:blipFill>
                  <pic:spPr bwMode="auto">
                    <a:xfrm>
                      <a:off x="0" y="0"/>
                      <a:ext cx="3771265" cy="242887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anchor>
        </w:drawing>
      </w:r>
      <w:r w:rsidRPr="004614CC">
        <w:rPr>
          <w:rFonts w:ascii="Arial" w:hAnsi="Arial" w:cs="Arial"/>
          <w:sz w:val="20"/>
          <w:szCs w:val="20"/>
        </w:rPr>
        <w:t xml:space="preserve">The following table summarises resolutions by type and indicates </w:t>
      </w:r>
      <w:r w:rsidRPr="004614CC">
        <w:rPr>
          <w:rFonts w:ascii="Arial" w:hAnsi="Arial" w:cs="Arial"/>
          <w:bCs/>
          <w:sz w:val="20"/>
          <w:szCs w:val="20"/>
        </w:rPr>
        <w:t>where opposition voting was concentrated</w:t>
      </w:r>
      <w:r w:rsidRPr="004614CC">
        <w:rPr>
          <w:rFonts w:ascii="Arial" w:hAnsi="Arial" w:cs="Arial"/>
          <w:sz w:val="20"/>
          <w:szCs w:val="20"/>
        </w:rPr>
        <w:t xml:space="preserve"> </w:t>
      </w:r>
      <w:r w:rsidRPr="004614CC">
        <w:rPr>
          <w:rFonts w:ascii="Arial" w:hAnsi="Arial" w:cs="Arial"/>
          <w:bCs/>
          <w:sz w:val="20"/>
          <w:szCs w:val="20"/>
        </w:rPr>
        <w:t>in Q</w:t>
      </w:r>
      <w:r>
        <w:rPr>
          <w:rFonts w:ascii="Arial" w:hAnsi="Arial" w:cs="Arial"/>
          <w:bCs/>
          <w:sz w:val="20"/>
          <w:szCs w:val="20"/>
        </w:rPr>
        <w:t>3.</w:t>
      </w:r>
      <w:r w:rsidRPr="004614CC">
        <w:rPr>
          <w:rFonts w:ascii="Arial" w:hAnsi="Arial" w:cs="Arial"/>
          <w:noProof/>
        </w:rPr>
        <w:t xml:space="preserve"> </w:t>
      </w:r>
    </w:p>
    <w:p w:rsidR="00846783" w:rsidP="00846783">
      <w:pPr>
        <w:autoSpaceDE w:val="0"/>
        <w:autoSpaceDN w:val="0"/>
        <w:adjustRightInd w:val="0"/>
        <w:spacing w:after="0"/>
        <w:rPr>
          <w:rFonts w:ascii="Arial" w:hAnsi="Arial" w:cs="Arial"/>
          <w:noProof/>
        </w:rPr>
      </w:pPr>
    </w:p>
    <w:p w:rsidR="00846783" w:rsidRPr="00146FDD" w:rsidP="00846783">
      <w:pPr>
        <w:autoSpaceDE w:val="0"/>
        <w:autoSpaceDN w:val="0"/>
        <w:adjustRightInd w:val="0"/>
        <w:spacing w:after="0"/>
        <w:rPr>
          <w:rFonts w:ascii="Arial" w:hAnsi="Arial" w:cs="Arial"/>
          <w:noProof/>
          <w:sz w:val="20"/>
          <w:szCs w:val="20"/>
        </w:rPr>
      </w:pPr>
      <w:r w:rsidRPr="00146FDD">
        <w:rPr>
          <w:rFonts w:ascii="Arial" w:hAnsi="Arial" w:cs="Arial"/>
          <w:bCs/>
          <w:sz w:val="20"/>
          <w:szCs w:val="20"/>
        </w:rPr>
        <w:t xml:space="preserve">LPPI voted against or withheld support for management proposals in </w:t>
      </w:r>
      <w:r w:rsidRPr="00146FDD">
        <w:rPr>
          <w:rFonts w:ascii="Arial" w:hAnsi="Arial" w:cs="Arial"/>
          <w:bCs/>
          <w:sz w:val="20"/>
          <w:szCs w:val="20"/>
        </w:rPr>
        <w:t>6</w:t>
      </w:r>
      <w:r w:rsidRPr="00146FDD">
        <w:rPr>
          <w:rFonts w:ascii="Arial" w:hAnsi="Arial" w:cs="Arial"/>
          <w:bCs/>
          <w:sz w:val="20"/>
          <w:szCs w:val="20"/>
        </w:rPr>
        <w:t>2</w:t>
      </w:r>
      <w:r w:rsidRPr="00146FDD">
        <w:rPr>
          <w:rFonts w:ascii="Arial" w:hAnsi="Arial" w:cs="Arial"/>
          <w:bCs/>
          <w:sz w:val="20"/>
          <w:szCs w:val="20"/>
        </w:rPr>
        <w:t xml:space="preserve"> instances (across </w:t>
      </w:r>
      <w:r w:rsidRPr="00146FDD">
        <w:rPr>
          <w:rFonts w:ascii="Arial" w:hAnsi="Arial" w:cs="Arial"/>
          <w:bCs/>
          <w:sz w:val="20"/>
          <w:szCs w:val="20"/>
        </w:rPr>
        <w:t xml:space="preserve">26 </w:t>
      </w:r>
      <w:r w:rsidRPr="00146FDD">
        <w:rPr>
          <w:rFonts w:ascii="Arial" w:hAnsi="Arial" w:cs="Arial"/>
          <w:bCs/>
          <w:sz w:val="20"/>
          <w:szCs w:val="20"/>
        </w:rPr>
        <w:t xml:space="preserve">company meetings). </w:t>
      </w:r>
    </w:p>
    <w:p w:rsidR="00846783" w:rsidRPr="00146FDD" w:rsidP="00846783">
      <w:pPr>
        <w:autoSpaceDE w:val="0"/>
        <w:autoSpaceDN w:val="0"/>
        <w:adjustRightInd w:val="0"/>
        <w:spacing w:after="0"/>
        <w:rPr>
          <w:rFonts w:ascii="Arial" w:hAnsi="Arial" w:cs="Arial"/>
          <w:bCs/>
          <w:sz w:val="20"/>
          <w:szCs w:val="20"/>
          <w:highlight w:val="yellow"/>
        </w:rPr>
      </w:pPr>
    </w:p>
    <w:p w:rsidR="00F727EF" w:rsidRPr="00146FDD" w:rsidP="00F727EF">
      <w:pPr>
        <w:autoSpaceDE w:val="0"/>
        <w:autoSpaceDN w:val="0"/>
        <w:adjustRightInd w:val="0"/>
        <w:spacing w:after="0"/>
        <w:rPr>
          <w:rFonts w:ascii="Arial" w:hAnsi="Arial" w:cs="Arial"/>
          <w:bCs/>
          <w:sz w:val="20"/>
          <w:szCs w:val="20"/>
        </w:rPr>
      </w:pPr>
      <w:r w:rsidRPr="00146FDD">
        <w:rPr>
          <w:rFonts w:ascii="Arial" w:hAnsi="Arial" w:cs="Arial"/>
          <w:bCs/>
          <w:sz w:val="20"/>
          <w:szCs w:val="20"/>
        </w:rPr>
        <w:t xml:space="preserve">This included opposing </w:t>
      </w:r>
      <w:r w:rsidRPr="00146FDD">
        <w:rPr>
          <w:rFonts w:ascii="Arial" w:hAnsi="Arial" w:cs="Arial"/>
          <w:bCs/>
          <w:sz w:val="20"/>
          <w:szCs w:val="20"/>
        </w:rPr>
        <w:t>or withholding support in 40</w:t>
      </w:r>
      <w:r w:rsidRPr="00146FDD">
        <w:rPr>
          <w:rFonts w:ascii="Arial" w:hAnsi="Arial" w:cs="Arial"/>
          <w:bCs/>
          <w:sz w:val="20"/>
          <w:szCs w:val="20"/>
        </w:rPr>
        <w:t xml:space="preserve"> management proposals connected with the election / re-election of directors or with the appointment of statutory auditors. </w:t>
      </w:r>
    </w:p>
    <w:p w:rsidR="00846783" w:rsidRPr="00146FDD" w:rsidP="00846783">
      <w:pPr>
        <w:autoSpaceDE w:val="0"/>
        <w:autoSpaceDN w:val="0"/>
        <w:adjustRightInd w:val="0"/>
        <w:spacing w:after="0"/>
        <w:rPr>
          <w:rFonts w:ascii="Arial" w:hAnsi="Arial" w:cs="Arial"/>
          <w:bCs/>
          <w:sz w:val="20"/>
          <w:szCs w:val="20"/>
        </w:rPr>
      </w:pPr>
    </w:p>
    <w:p w:rsidR="00846783" w:rsidRPr="00146FDD" w:rsidP="00846783">
      <w:pPr>
        <w:autoSpaceDE w:val="0"/>
        <w:autoSpaceDN w:val="0"/>
        <w:adjustRightInd w:val="0"/>
        <w:spacing w:after="0"/>
        <w:rPr>
          <w:rFonts w:ascii="Arial" w:hAnsi="Arial" w:cs="Arial"/>
          <w:bCs/>
          <w:sz w:val="20"/>
          <w:szCs w:val="20"/>
        </w:rPr>
      </w:pPr>
      <w:r w:rsidRPr="00146FDD">
        <w:rPr>
          <w:rFonts w:ascii="Arial" w:hAnsi="Arial" w:cs="Arial"/>
          <w:bCs/>
          <w:sz w:val="20"/>
          <w:szCs w:val="20"/>
        </w:rPr>
        <w:t>Opposition voting commonly reflected concerns with the com</w:t>
      </w:r>
      <w:r w:rsidRPr="00146FDD">
        <w:rPr>
          <w:rFonts w:ascii="Arial" w:hAnsi="Arial" w:cs="Arial"/>
          <w:bCs/>
          <w:sz w:val="20"/>
          <w:szCs w:val="20"/>
        </w:rPr>
        <w:t xml:space="preserve">position and independence of company boards, the independence of individual </w:t>
      </w:r>
      <w:r w:rsidRPr="00146FDD">
        <w:rPr>
          <w:rFonts w:ascii="Arial" w:hAnsi="Arial" w:cs="Arial"/>
          <w:bCs/>
          <w:sz w:val="20"/>
          <w:szCs w:val="20"/>
        </w:rPr>
        <w:t>b</w:t>
      </w:r>
      <w:r w:rsidRPr="00146FDD">
        <w:rPr>
          <w:rFonts w:ascii="Arial" w:hAnsi="Arial" w:cs="Arial"/>
          <w:bCs/>
          <w:sz w:val="20"/>
          <w:szCs w:val="20"/>
        </w:rPr>
        <w:t>oard members</w:t>
      </w:r>
      <w:r w:rsidRPr="00146FDD">
        <w:rPr>
          <w:rFonts w:ascii="Arial" w:hAnsi="Arial" w:cs="Arial"/>
          <w:bCs/>
          <w:sz w:val="20"/>
          <w:szCs w:val="20"/>
        </w:rPr>
        <w:t xml:space="preserve">, and the </w:t>
      </w:r>
      <w:r w:rsidRPr="00146FDD">
        <w:rPr>
          <w:rFonts w:ascii="Arial" w:hAnsi="Arial" w:cs="Arial"/>
          <w:bCs/>
          <w:sz w:val="20"/>
          <w:szCs w:val="20"/>
        </w:rPr>
        <w:t>over boarding (multiple other directorships</w:t>
      </w:r>
      <w:r w:rsidRPr="00146FDD">
        <w:rPr>
          <w:rFonts w:ascii="Arial" w:hAnsi="Arial" w:cs="Arial"/>
          <w:bCs/>
          <w:sz w:val="20"/>
          <w:szCs w:val="20"/>
        </w:rPr>
        <w:t xml:space="preserve">) of individual board members. </w:t>
      </w:r>
    </w:p>
    <w:p w:rsidR="00846783" w:rsidRPr="00146FDD" w:rsidP="00846783">
      <w:pPr>
        <w:spacing w:after="0" w:line="240" w:lineRule="auto"/>
        <w:rPr>
          <w:rFonts w:ascii="Arial" w:hAnsi="Arial" w:cs="Arial"/>
          <w:color w:val="000000"/>
          <w:sz w:val="20"/>
          <w:szCs w:val="20"/>
        </w:rPr>
      </w:pPr>
    </w:p>
    <w:p w:rsidR="00846783" w:rsidRPr="00072AD9" w:rsidP="00846783">
      <w:pPr>
        <w:spacing w:after="0" w:line="240" w:lineRule="auto"/>
        <w:rPr>
          <w:rFonts w:ascii="Arial" w:hAnsi="Arial" w:cs="Arial"/>
          <w:iCs/>
          <w:color w:val="000000"/>
          <w:sz w:val="20"/>
          <w:szCs w:val="20"/>
        </w:rPr>
      </w:pPr>
      <w:r w:rsidRPr="00072AD9">
        <w:rPr>
          <w:rFonts w:ascii="Arial" w:hAnsi="Arial" w:cs="Arial"/>
          <w:iCs/>
          <w:color w:val="000000"/>
          <w:sz w:val="20"/>
          <w:szCs w:val="20"/>
        </w:rPr>
        <w:t>Director Related</w:t>
      </w:r>
    </w:p>
    <w:p w:rsidR="002E13EF" w:rsidRPr="00072AD9" w:rsidP="00846783">
      <w:pPr>
        <w:spacing w:after="0" w:line="240" w:lineRule="auto"/>
        <w:rPr>
          <w:rFonts w:ascii="Arial" w:hAnsi="Arial" w:cs="Arial"/>
          <w:iCs/>
          <w:color w:val="000000"/>
          <w:sz w:val="20"/>
          <w:szCs w:val="20"/>
        </w:rPr>
      </w:pPr>
    </w:p>
    <w:p w:rsidR="00846783" w:rsidRPr="00072AD9" w:rsidP="00923583">
      <w:pPr>
        <w:pStyle w:val="treb"/>
        <w:numPr>
          <w:ilvl w:val="0"/>
          <w:numId w:val="0"/>
        </w:numPr>
        <w:tabs>
          <w:tab w:val="left" w:pos="1402"/>
        </w:tabs>
        <w:spacing w:after="0"/>
        <w:rPr>
          <w:rFonts w:ascii="Arial" w:hAnsi="Arial"/>
          <w:b w:val="0"/>
          <w:bCs w:val="0"/>
          <w:iCs/>
          <w:color w:val="000000"/>
          <w:sz w:val="20"/>
          <w:szCs w:val="20"/>
        </w:rPr>
      </w:pPr>
      <w:r w:rsidRPr="00072AD9">
        <w:rPr>
          <w:rFonts w:ascii="Arial" w:hAnsi="Arial"/>
          <w:b w:val="0"/>
          <w:bCs w:val="0"/>
          <w:iCs/>
          <w:color w:val="000000"/>
          <w:sz w:val="20"/>
          <w:szCs w:val="20"/>
        </w:rPr>
        <w:t xml:space="preserve">At AusNet Services Ltd (Australia: Electric Utilities) </w:t>
      </w:r>
      <w:r w:rsidRPr="00072AD9">
        <w:rPr>
          <w:rFonts w:ascii="Arial" w:hAnsi="Arial"/>
          <w:b w:val="0"/>
          <w:bCs w:val="0"/>
          <w:iCs/>
          <w:color w:val="000000"/>
          <w:sz w:val="20"/>
          <w:szCs w:val="20"/>
        </w:rPr>
        <w:t xml:space="preserve">LPPI </w:t>
      </w:r>
      <w:r w:rsidRPr="00072AD9">
        <w:rPr>
          <w:rFonts w:ascii="Arial" w:hAnsi="Arial"/>
          <w:b w:val="0"/>
          <w:bCs w:val="0"/>
          <w:iCs/>
          <w:color w:val="000000"/>
          <w:sz w:val="20"/>
          <w:szCs w:val="20"/>
        </w:rPr>
        <w:t>voted against the re-election of the independent chair</w:t>
      </w:r>
      <w:r w:rsidRPr="00072AD9">
        <w:rPr>
          <w:rFonts w:ascii="Arial" w:hAnsi="Arial"/>
          <w:b w:val="0"/>
          <w:bCs w:val="0"/>
          <w:iCs/>
          <w:color w:val="000000"/>
          <w:sz w:val="20"/>
          <w:szCs w:val="20"/>
        </w:rPr>
        <w:t>man</w:t>
      </w:r>
      <w:r w:rsidRPr="00072AD9">
        <w:rPr>
          <w:rFonts w:ascii="Arial" w:hAnsi="Arial"/>
          <w:b w:val="0"/>
          <w:bCs w:val="0"/>
          <w:iCs/>
          <w:color w:val="000000"/>
          <w:sz w:val="20"/>
          <w:szCs w:val="20"/>
        </w:rPr>
        <w:t xml:space="preserve">. </w:t>
      </w:r>
      <w:r w:rsidRPr="00072AD9">
        <w:rPr>
          <w:rFonts w:ascii="Arial" w:hAnsi="Arial"/>
          <w:b w:val="0"/>
          <w:bCs w:val="0"/>
          <w:iCs/>
          <w:color w:val="000000"/>
          <w:sz w:val="20"/>
          <w:szCs w:val="20"/>
        </w:rPr>
        <w:t xml:space="preserve">The nominee was </w:t>
      </w:r>
      <w:r w:rsidRPr="00072AD9">
        <w:rPr>
          <w:rFonts w:ascii="Arial" w:hAnsi="Arial"/>
          <w:b w:val="0"/>
          <w:bCs w:val="0"/>
          <w:iCs/>
          <w:color w:val="000000"/>
          <w:sz w:val="20"/>
          <w:szCs w:val="20"/>
        </w:rPr>
        <w:t xml:space="preserve">previously </w:t>
      </w:r>
      <w:r w:rsidRPr="00072AD9">
        <w:rPr>
          <w:rFonts w:ascii="Arial" w:hAnsi="Arial"/>
          <w:b w:val="0"/>
          <w:bCs w:val="0"/>
          <w:iCs/>
          <w:color w:val="000000"/>
          <w:sz w:val="20"/>
          <w:szCs w:val="20"/>
        </w:rPr>
        <w:t>the chair of a financial services company where the Australian Royal Commission into Misconduct in the Banking, Superannuation and Financial Services Industry found mater</w:t>
      </w:r>
      <w:r w:rsidRPr="00072AD9">
        <w:rPr>
          <w:rFonts w:ascii="Arial" w:hAnsi="Arial"/>
          <w:b w:val="0"/>
          <w:bCs w:val="0"/>
          <w:iCs/>
          <w:color w:val="000000"/>
          <w:sz w:val="20"/>
          <w:szCs w:val="20"/>
        </w:rPr>
        <w:t>ial failures of governance, stewardship, and risk oversight during his tenure (Result: 23.5% against).</w:t>
      </w:r>
      <w:r w:rsidRPr="00072AD9">
        <w:rPr>
          <w:rFonts w:ascii="Arial" w:hAnsi="Arial"/>
          <w:b w:val="0"/>
          <w:bCs w:val="0"/>
          <w:iCs/>
          <w:color w:val="000000"/>
          <w:sz w:val="20"/>
          <w:szCs w:val="20"/>
        </w:rPr>
        <w:tab/>
      </w:r>
    </w:p>
    <w:p w:rsidR="00846783" w:rsidRPr="00072AD9" w:rsidP="00846783">
      <w:pPr>
        <w:pStyle w:val="treb"/>
        <w:numPr>
          <w:ilvl w:val="0"/>
          <w:numId w:val="0"/>
        </w:numPr>
        <w:spacing w:after="0"/>
        <w:rPr>
          <w:rFonts w:ascii="Arial" w:hAnsi="Arial"/>
          <w:b w:val="0"/>
          <w:bCs w:val="0"/>
          <w:sz w:val="20"/>
          <w:szCs w:val="20"/>
          <w:lang w:val="en-US"/>
        </w:rPr>
      </w:pPr>
    </w:p>
    <w:p w:rsidR="00923583" w:rsidRPr="00072AD9" w:rsidP="00846783">
      <w:pPr>
        <w:pStyle w:val="treb"/>
        <w:numPr>
          <w:ilvl w:val="0"/>
          <w:numId w:val="0"/>
        </w:numPr>
        <w:spacing w:after="0"/>
        <w:rPr>
          <w:rFonts w:ascii="Arial" w:hAnsi="Arial"/>
          <w:b w:val="0"/>
          <w:bCs w:val="0"/>
          <w:iCs/>
          <w:color w:val="000000"/>
          <w:sz w:val="20"/>
          <w:szCs w:val="20"/>
        </w:rPr>
      </w:pPr>
      <w:r w:rsidRPr="00072AD9">
        <w:rPr>
          <w:rFonts w:ascii="Arial" w:hAnsi="Arial"/>
          <w:b w:val="0"/>
          <w:bCs w:val="0"/>
          <w:iCs/>
          <w:color w:val="000000"/>
          <w:sz w:val="20"/>
          <w:szCs w:val="20"/>
        </w:rPr>
        <w:t>At Yunnan Baiyao Group Co</w:t>
      </w:r>
      <w:r w:rsidRPr="00072AD9">
        <w:rPr>
          <w:rFonts w:ascii="Arial" w:hAnsi="Arial"/>
          <w:b w:val="0"/>
          <w:bCs w:val="0"/>
          <w:iCs/>
          <w:color w:val="000000"/>
          <w:sz w:val="20"/>
          <w:szCs w:val="20"/>
        </w:rPr>
        <w:t>. (China: Pharmaceuticals)</w:t>
      </w:r>
      <w:r w:rsidRPr="00072AD9">
        <w:rPr>
          <w:rFonts w:ascii="Arial" w:hAnsi="Arial"/>
          <w:b w:val="0"/>
          <w:bCs w:val="0"/>
          <w:iCs/>
          <w:color w:val="000000"/>
          <w:sz w:val="20"/>
          <w:szCs w:val="20"/>
        </w:rPr>
        <w:t xml:space="preserve"> LPPI voted against the election of seven non-independent directors as the </w:t>
      </w:r>
      <w:r w:rsidRPr="00072AD9">
        <w:rPr>
          <w:rFonts w:ascii="Arial" w:hAnsi="Arial"/>
          <w:b w:val="0"/>
          <w:bCs w:val="0"/>
          <w:iCs/>
          <w:color w:val="000000"/>
          <w:sz w:val="20"/>
          <w:szCs w:val="20"/>
        </w:rPr>
        <w:t xml:space="preserve">level of </w:t>
      </w:r>
      <w:r w:rsidRPr="00072AD9">
        <w:rPr>
          <w:rFonts w:ascii="Arial" w:hAnsi="Arial"/>
          <w:b w:val="0"/>
          <w:bCs w:val="0"/>
          <w:iCs/>
          <w:color w:val="000000"/>
          <w:sz w:val="20"/>
          <w:szCs w:val="20"/>
        </w:rPr>
        <w:t xml:space="preserve">board </w:t>
      </w:r>
      <w:r w:rsidRPr="00072AD9">
        <w:rPr>
          <w:rFonts w:ascii="Arial" w:hAnsi="Arial"/>
          <w:b w:val="0"/>
          <w:bCs w:val="0"/>
          <w:iCs/>
          <w:color w:val="000000"/>
          <w:sz w:val="20"/>
          <w:szCs w:val="20"/>
        </w:rPr>
        <w:t xml:space="preserve">independence falls below the regulatory requirement </w:t>
      </w:r>
      <w:r w:rsidRPr="00072AD9">
        <w:rPr>
          <w:rFonts w:ascii="Arial" w:hAnsi="Arial"/>
          <w:b w:val="0"/>
          <w:bCs w:val="0"/>
          <w:iCs/>
          <w:color w:val="000000"/>
          <w:sz w:val="20"/>
          <w:szCs w:val="20"/>
        </w:rPr>
        <w:t>for more than one-third of the board to be independent directors</w:t>
      </w:r>
      <w:r w:rsidRPr="00072AD9">
        <w:rPr>
          <w:rFonts w:ascii="Arial" w:hAnsi="Arial"/>
          <w:b w:val="0"/>
          <w:bCs w:val="0"/>
          <w:iCs/>
          <w:color w:val="000000"/>
          <w:sz w:val="20"/>
          <w:szCs w:val="20"/>
        </w:rPr>
        <w:t xml:space="preserve">. (Results: all seven directors received report of at least 95.8%). </w:t>
      </w:r>
    </w:p>
    <w:p w:rsidR="002E13EF" w:rsidRPr="00072AD9" w:rsidP="00846783">
      <w:pPr>
        <w:pStyle w:val="treb"/>
        <w:numPr>
          <w:ilvl w:val="0"/>
          <w:numId w:val="0"/>
        </w:numPr>
        <w:spacing w:after="0"/>
        <w:rPr>
          <w:rFonts w:ascii="Arial" w:hAnsi="Arial"/>
          <w:b w:val="0"/>
          <w:bCs w:val="0"/>
          <w:iCs/>
          <w:color w:val="000000"/>
          <w:sz w:val="20"/>
          <w:szCs w:val="20"/>
        </w:rPr>
      </w:pPr>
    </w:p>
    <w:p w:rsidR="002E13EF" w:rsidRPr="00072AD9" w:rsidP="00846783">
      <w:pPr>
        <w:pStyle w:val="treb"/>
        <w:numPr>
          <w:ilvl w:val="0"/>
          <w:numId w:val="0"/>
        </w:numPr>
        <w:spacing w:after="0"/>
        <w:rPr>
          <w:rFonts w:ascii="Arial" w:hAnsi="Arial"/>
          <w:b w:val="0"/>
          <w:bCs w:val="0"/>
          <w:iCs/>
          <w:color w:val="000000"/>
          <w:sz w:val="20"/>
          <w:szCs w:val="20"/>
        </w:rPr>
      </w:pPr>
      <w:r w:rsidRPr="00072AD9">
        <w:rPr>
          <w:rFonts w:ascii="Arial" w:hAnsi="Arial"/>
          <w:b w:val="0"/>
          <w:bCs w:val="0"/>
          <w:iCs/>
          <w:color w:val="000000"/>
          <w:sz w:val="20"/>
          <w:szCs w:val="20"/>
        </w:rPr>
        <w:t>At</w:t>
      </w:r>
      <w:r w:rsidRPr="00072AD9">
        <w:rPr>
          <w:rFonts w:ascii="Arial" w:hAnsi="Arial"/>
          <w:iCs/>
          <w:color w:val="000000"/>
          <w:sz w:val="20"/>
          <w:szCs w:val="20"/>
        </w:rPr>
        <w:t xml:space="preserve"> </w:t>
      </w:r>
      <w:r w:rsidRPr="00072AD9">
        <w:rPr>
          <w:rFonts w:ascii="Arial" w:hAnsi="Arial"/>
          <w:b w:val="0"/>
          <w:bCs w:val="0"/>
          <w:iCs/>
          <w:color w:val="000000"/>
          <w:sz w:val="20"/>
          <w:szCs w:val="20"/>
        </w:rPr>
        <w:t>SBI Life Insurance Company Limited (India: Life &amp; Health Insurance)</w:t>
      </w:r>
      <w:r w:rsidRPr="00072AD9">
        <w:rPr>
          <w:rFonts w:ascii="Arial" w:hAnsi="Arial"/>
          <w:b w:val="0"/>
          <w:bCs w:val="0"/>
          <w:iCs/>
          <w:color w:val="000000"/>
          <w:sz w:val="20"/>
          <w:szCs w:val="20"/>
        </w:rPr>
        <w:t xml:space="preserve"> LPPI voted against the re-election of a director due to failure to attend at least 75% of board and committee meetings with no satisfactory explanation. (Result: 10.0% against).</w:t>
      </w:r>
    </w:p>
    <w:p w:rsidR="00923583" w:rsidRPr="00072AD9" w:rsidP="00846783">
      <w:pPr>
        <w:pStyle w:val="treb"/>
        <w:numPr>
          <w:ilvl w:val="0"/>
          <w:numId w:val="0"/>
        </w:numPr>
        <w:spacing w:after="0"/>
        <w:rPr>
          <w:rFonts w:ascii="Arial" w:hAnsi="Arial"/>
          <w:b w:val="0"/>
          <w:bCs w:val="0"/>
          <w:sz w:val="20"/>
          <w:szCs w:val="20"/>
          <w:lang w:val="en-US"/>
        </w:rPr>
      </w:pPr>
    </w:p>
    <w:p w:rsidR="00846783" w:rsidRPr="00072AD9" w:rsidP="00846783">
      <w:pPr>
        <w:pStyle w:val="treb"/>
        <w:numPr>
          <w:ilvl w:val="0"/>
          <w:numId w:val="0"/>
        </w:numPr>
        <w:spacing w:after="0"/>
        <w:rPr>
          <w:rFonts w:ascii="Arial" w:hAnsi="Arial"/>
          <w:b w:val="0"/>
          <w:sz w:val="20"/>
          <w:szCs w:val="20"/>
        </w:rPr>
      </w:pPr>
      <w:r w:rsidRPr="00072AD9">
        <w:rPr>
          <w:rFonts w:ascii="Arial" w:hAnsi="Arial"/>
          <w:b w:val="0"/>
          <w:sz w:val="20"/>
          <w:szCs w:val="20"/>
        </w:rPr>
        <w:t>Non-Salary Compensation</w:t>
      </w:r>
    </w:p>
    <w:p w:rsidR="00846783" w:rsidRPr="00072AD9" w:rsidP="00846783">
      <w:pPr>
        <w:pStyle w:val="treb"/>
        <w:numPr>
          <w:ilvl w:val="0"/>
          <w:numId w:val="0"/>
        </w:numPr>
        <w:spacing w:after="0"/>
        <w:rPr>
          <w:rFonts w:ascii="Arial" w:hAnsi="Arial"/>
          <w:b w:val="0"/>
          <w:sz w:val="20"/>
          <w:szCs w:val="20"/>
        </w:rPr>
      </w:pPr>
    </w:p>
    <w:p w:rsidR="00530D01" w:rsidRPr="00072AD9" w:rsidP="00846783">
      <w:pPr>
        <w:pStyle w:val="treb"/>
        <w:numPr>
          <w:ilvl w:val="0"/>
          <w:numId w:val="0"/>
        </w:numPr>
        <w:spacing w:after="0"/>
        <w:rPr>
          <w:rFonts w:ascii="Arial" w:hAnsi="Arial"/>
          <w:b w:val="0"/>
          <w:bCs w:val="0"/>
          <w:iCs/>
          <w:color w:val="000000"/>
          <w:sz w:val="20"/>
          <w:szCs w:val="20"/>
        </w:rPr>
      </w:pPr>
      <w:r w:rsidRPr="00072AD9">
        <w:rPr>
          <w:rFonts w:ascii="Arial" w:hAnsi="Arial"/>
          <w:b w:val="0"/>
          <w:bCs w:val="0"/>
          <w:iCs/>
          <w:color w:val="000000"/>
          <w:sz w:val="20"/>
          <w:szCs w:val="20"/>
        </w:rPr>
        <w:t>Management proposals on compensation arrangements p</w:t>
      </w:r>
      <w:r w:rsidRPr="00072AD9">
        <w:rPr>
          <w:rFonts w:ascii="Arial" w:hAnsi="Arial"/>
          <w:b w:val="0"/>
          <w:bCs w:val="0"/>
          <w:iCs/>
          <w:color w:val="000000"/>
          <w:sz w:val="20"/>
          <w:szCs w:val="20"/>
        </w:rPr>
        <w:t>rom</w:t>
      </w:r>
      <w:r w:rsidRPr="00072AD9">
        <w:rPr>
          <w:rFonts w:ascii="Arial" w:hAnsi="Arial"/>
          <w:b w:val="0"/>
          <w:bCs w:val="0"/>
          <w:iCs/>
          <w:color w:val="000000"/>
          <w:sz w:val="20"/>
          <w:szCs w:val="20"/>
        </w:rPr>
        <w:t>p</w:t>
      </w:r>
      <w:r w:rsidRPr="00072AD9">
        <w:rPr>
          <w:rFonts w:ascii="Arial" w:hAnsi="Arial"/>
          <w:b w:val="0"/>
          <w:bCs w:val="0"/>
          <w:iCs/>
          <w:color w:val="000000"/>
          <w:sz w:val="20"/>
          <w:szCs w:val="20"/>
        </w:rPr>
        <w:t xml:space="preserve">ted nine opposition votes. </w:t>
      </w:r>
      <w:r w:rsidRPr="00072AD9">
        <w:rPr>
          <w:rFonts w:ascii="Arial" w:hAnsi="Arial"/>
          <w:b w:val="0"/>
          <w:bCs w:val="0"/>
          <w:iCs/>
          <w:color w:val="000000"/>
          <w:sz w:val="20"/>
          <w:szCs w:val="20"/>
        </w:rPr>
        <w:t xml:space="preserve">These were in response to cases including a lack of transparency around performance conditions, </w:t>
      </w:r>
      <w:r w:rsidRPr="00072AD9">
        <w:rPr>
          <w:rFonts w:ascii="Arial" w:hAnsi="Arial"/>
          <w:b w:val="0"/>
          <w:bCs w:val="0"/>
          <w:iCs/>
          <w:color w:val="000000"/>
          <w:sz w:val="20"/>
          <w:szCs w:val="20"/>
        </w:rPr>
        <w:t xml:space="preserve">poor alignment of performance conditions to shareholder interests, and instances where variable pay </w:t>
      </w:r>
      <w:r w:rsidRPr="00072AD9">
        <w:rPr>
          <w:rFonts w:ascii="Arial" w:hAnsi="Arial"/>
          <w:b w:val="0"/>
          <w:bCs w:val="0"/>
          <w:iCs/>
          <w:color w:val="000000"/>
          <w:sz w:val="20"/>
          <w:szCs w:val="20"/>
        </w:rPr>
        <w:t>terms are</w:t>
      </w:r>
      <w:r w:rsidRPr="00072AD9">
        <w:rPr>
          <w:rFonts w:ascii="Arial" w:hAnsi="Arial"/>
          <w:b w:val="0"/>
          <w:bCs w:val="0"/>
          <w:iCs/>
          <w:color w:val="000000"/>
          <w:sz w:val="20"/>
          <w:szCs w:val="20"/>
        </w:rPr>
        <w:t xml:space="preserve"> considered </w:t>
      </w:r>
      <w:r w:rsidRPr="00072AD9">
        <w:rPr>
          <w:rFonts w:ascii="Arial" w:hAnsi="Arial"/>
          <w:b w:val="0"/>
          <w:bCs w:val="0"/>
          <w:iCs/>
          <w:color w:val="000000"/>
          <w:sz w:val="20"/>
          <w:szCs w:val="20"/>
        </w:rPr>
        <w:t xml:space="preserve">to be </w:t>
      </w:r>
      <w:r w:rsidRPr="00072AD9">
        <w:rPr>
          <w:rFonts w:ascii="Arial" w:hAnsi="Arial"/>
          <w:b w:val="0"/>
          <w:bCs w:val="0"/>
          <w:iCs/>
          <w:color w:val="000000"/>
          <w:sz w:val="20"/>
          <w:szCs w:val="20"/>
        </w:rPr>
        <w:t xml:space="preserve">excessive. </w:t>
      </w:r>
    </w:p>
    <w:p w:rsidR="00530D01" w:rsidRPr="00072AD9" w:rsidP="00846783">
      <w:pPr>
        <w:pStyle w:val="treb"/>
        <w:numPr>
          <w:ilvl w:val="0"/>
          <w:numId w:val="0"/>
        </w:numPr>
        <w:spacing w:after="0"/>
        <w:rPr>
          <w:rFonts w:ascii="Arial" w:hAnsi="Arial"/>
          <w:b w:val="0"/>
          <w:sz w:val="20"/>
          <w:szCs w:val="20"/>
        </w:rPr>
      </w:pPr>
    </w:p>
    <w:p w:rsidR="00530D01" w:rsidRPr="00072AD9" w:rsidP="00146FDD">
      <w:pPr>
        <w:pStyle w:val="treb"/>
        <w:numPr>
          <w:ilvl w:val="0"/>
          <w:numId w:val="0"/>
        </w:numPr>
        <w:spacing w:after="0"/>
        <w:rPr>
          <w:rFonts w:ascii="Arial" w:hAnsi="Arial"/>
          <w:b w:val="0"/>
          <w:bCs w:val="0"/>
          <w:iCs/>
          <w:color w:val="000000"/>
          <w:sz w:val="20"/>
          <w:szCs w:val="20"/>
        </w:rPr>
      </w:pPr>
      <w:r w:rsidRPr="00072AD9">
        <w:rPr>
          <w:rFonts w:ascii="Arial" w:hAnsi="Arial"/>
          <w:b w:val="0"/>
          <w:bCs w:val="0"/>
          <w:iCs/>
          <w:color w:val="000000"/>
          <w:sz w:val="20"/>
          <w:szCs w:val="20"/>
        </w:rPr>
        <w:t xml:space="preserve">At Vista Outdoor Inc. (USA: Leisure Products) LPPI voted against the Advisory Vote to Ratify Named Executive Officers' Compensation. </w:t>
      </w:r>
      <w:r w:rsidRPr="00072AD9">
        <w:rPr>
          <w:rFonts w:ascii="Arial" w:hAnsi="Arial"/>
          <w:b w:val="0"/>
          <w:bCs w:val="0"/>
          <w:iCs/>
          <w:color w:val="000000"/>
          <w:sz w:val="20"/>
          <w:szCs w:val="20"/>
        </w:rPr>
        <w:t>This reflected that d</w:t>
      </w:r>
      <w:r w:rsidRPr="00072AD9">
        <w:rPr>
          <w:rFonts w:ascii="Arial" w:hAnsi="Arial"/>
          <w:b w:val="0"/>
          <w:bCs w:val="0"/>
          <w:iCs/>
          <w:color w:val="000000"/>
          <w:sz w:val="20"/>
          <w:szCs w:val="20"/>
        </w:rPr>
        <w:t xml:space="preserve">espite </w:t>
      </w:r>
      <w:r w:rsidRPr="00072AD9">
        <w:rPr>
          <w:rFonts w:ascii="Arial" w:hAnsi="Arial"/>
          <w:b w:val="0"/>
          <w:bCs w:val="0"/>
          <w:iCs/>
          <w:color w:val="000000"/>
          <w:sz w:val="20"/>
          <w:szCs w:val="20"/>
        </w:rPr>
        <w:t xml:space="preserve">the company’s </w:t>
      </w:r>
      <w:r w:rsidRPr="00072AD9">
        <w:rPr>
          <w:rFonts w:ascii="Arial" w:hAnsi="Arial"/>
          <w:b w:val="0"/>
          <w:bCs w:val="0"/>
          <w:iCs/>
          <w:color w:val="000000"/>
          <w:sz w:val="20"/>
          <w:szCs w:val="20"/>
        </w:rPr>
        <w:t>engagement with shareholders following the same proposal’s rejection</w:t>
      </w:r>
      <w:r w:rsidRPr="00072AD9">
        <w:rPr>
          <w:rFonts w:ascii="Arial" w:hAnsi="Arial"/>
          <w:b w:val="0"/>
          <w:bCs w:val="0"/>
          <w:iCs/>
          <w:color w:val="000000"/>
          <w:sz w:val="20"/>
          <w:szCs w:val="20"/>
        </w:rPr>
        <w:t xml:space="preserve"> by shareholders (LPPI included) last year, </w:t>
      </w:r>
      <w:r w:rsidRPr="00072AD9">
        <w:rPr>
          <w:rFonts w:ascii="Arial" w:hAnsi="Arial"/>
          <w:b w:val="0"/>
          <w:bCs w:val="0"/>
          <w:iCs/>
          <w:color w:val="000000"/>
          <w:sz w:val="20"/>
          <w:szCs w:val="20"/>
        </w:rPr>
        <w:t xml:space="preserve">underlying </w:t>
      </w:r>
      <w:r w:rsidRPr="00072AD9">
        <w:rPr>
          <w:rFonts w:ascii="Arial" w:hAnsi="Arial"/>
          <w:b w:val="0"/>
          <w:bCs w:val="0"/>
          <w:iCs/>
          <w:color w:val="000000"/>
          <w:sz w:val="20"/>
          <w:szCs w:val="20"/>
        </w:rPr>
        <w:t xml:space="preserve">concerns </w:t>
      </w:r>
      <w:r w:rsidRPr="00072AD9">
        <w:rPr>
          <w:rFonts w:ascii="Arial" w:hAnsi="Arial"/>
          <w:b w:val="0"/>
          <w:bCs w:val="0"/>
          <w:iCs/>
          <w:color w:val="000000"/>
          <w:sz w:val="20"/>
          <w:szCs w:val="20"/>
        </w:rPr>
        <w:t>a</w:t>
      </w:r>
      <w:r w:rsidRPr="00072AD9">
        <w:rPr>
          <w:rFonts w:ascii="Arial" w:hAnsi="Arial"/>
          <w:b w:val="0"/>
          <w:bCs w:val="0"/>
          <w:iCs/>
          <w:color w:val="000000"/>
          <w:sz w:val="20"/>
          <w:szCs w:val="20"/>
        </w:rPr>
        <w:t xml:space="preserve">re not </w:t>
      </w:r>
      <w:r w:rsidRPr="00072AD9">
        <w:rPr>
          <w:rFonts w:ascii="Arial" w:hAnsi="Arial"/>
          <w:b w:val="0"/>
          <w:bCs w:val="0"/>
          <w:iCs/>
          <w:color w:val="000000"/>
          <w:sz w:val="20"/>
          <w:szCs w:val="20"/>
        </w:rPr>
        <w:t xml:space="preserve">yet </w:t>
      </w:r>
      <w:r w:rsidRPr="00072AD9">
        <w:rPr>
          <w:rFonts w:ascii="Arial" w:hAnsi="Arial"/>
          <w:b w:val="0"/>
          <w:bCs w:val="0"/>
          <w:iCs/>
          <w:color w:val="000000"/>
          <w:sz w:val="20"/>
          <w:szCs w:val="20"/>
        </w:rPr>
        <w:t xml:space="preserve">considered sufficiently addressed. The company reduced target performance levels within the short-term incentive plan and achieved performance levels from 2018, resulting in above </w:t>
      </w:r>
      <w:r w:rsidRPr="00072AD9">
        <w:rPr>
          <w:rFonts w:ascii="Arial" w:hAnsi="Arial"/>
          <w:b w:val="0"/>
          <w:bCs w:val="0"/>
          <w:iCs/>
          <w:color w:val="000000"/>
          <w:sz w:val="20"/>
          <w:szCs w:val="20"/>
        </w:rPr>
        <w:t xml:space="preserve">target pay-outs alongside declining financial performance. Additionally, key metrics in both the short-term and long-term incentive plans were not </w:t>
      </w:r>
      <w:r w:rsidRPr="00072AD9">
        <w:rPr>
          <w:rFonts w:ascii="Arial" w:hAnsi="Arial"/>
          <w:b w:val="0"/>
          <w:bCs w:val="0"/>
          <w:iCs/>
          <w:color w:val="000000"/>
          <w:sz w:val="20"/>
          <w:szCs w:val="20"/>
        </w:rPr>
        <w:t>adequately</w:t>
      </w:r>
      <w:r w:rsidRPr="00072AD9">
        <w:rPr>
          <w:rFonts w:ascii="Arial" w:hAnsi="Arial"/>
          <w:b w:val="0"/>
          <w:bCs w:val="0"/>
          <w:iCs/>
          <w:color w:val="000000"/>
          <w:sz w:val="20"/>
          <w:szCs w:val="20"/>
        </w:rPr>
        <w:t xml:space="preserve"> </w:t>
      </w:r>
      <w:r w:rsidRPr="00072AD9">
        <w:rPr>
          <w:rFonts w:ascii="Arial" w:hAnsi="Arial"/>
          <w:b w:val="0"/>
          <w:bCs w:val="0"/>
          <w:iCs/>
          <w:color w:val="000000"/>
          <w:sz w:val="20"/>
          <w:szCs w:val="20"/>
        </w:rPr>
        <w:t xml:space="preserve">disclosed. (Result: 59.9% against). </w:t>
      </w:r>
    </w:p>
    <w:p w:rsidR="00530D01" w:rsidRPr="00072AD9" w:rsidP="00530D01">
      <w:pPr>
        <w:spacing w:after="0" w:line="240" w:lineRule="auto"/>
        <w:rPr>
          <w:rFonts w:ascii="Arial" w:hAnsi="Arial" w:cs="Arial"/>
          <w:sz w:val="20"/>
          <w:szCs w:val="20"/>
        </w:rPr>
      </w:pPr>
    </w:p>
    <w:p w:rsidR="00530D01" w:rsidRPr="00072AD9" w:rsidP="00530D01">
      <w:pPr>
        <w:spacing w:after="0" w:line="240" w:lineRule="auto"/>
        <w:rPr>
          <w:rFonts w:ascii="Arial" w:hAnsi="Arial" w:cs="Arial"/>
          <w:sz w:val="20"/>
          <w:szCs w:val="20"/>
        </w:rPr>
      </w:pPr>
      <w:r w:rsidRPr="00072AD9">
        <w:rPr>
          <w:rFonts w:ascii="Arial" w:hAnsi="Arial" w:cs="Arial"/>
          <w:sz w:val="20"/>
          <w:szCs w:val="20"/>
        </w:rPr>
        <w:t xml:space="preserve">At Mr. Price Group Ltd. (South Africa: Apparel, Accessories </w:t>
      </w:r>
      <w:r w:rsidRPr="00072AD9">
        <w:rPr>
          <w:rFonts w:ascii="Arial" w:hAnsi="Arial" w:cs="Arial"/>
          <w:sz w:val="20"/>
          <w:szCs w:val="20"/>
        </w:rPr>
        <w:t xml:space="preserve">&amp; Luxury Goods) LPPI voted against </w:t>
      </w:r>
      <w:r w:rsidRPr="00072AD9">
        <w:rPr>
          <w:rFonts w:ascii="Arial" w:hAnsi="Arial" w:cs="Arial"/>
          <w:sz w:val="20"/>
          <w:szCs w:val="20"/>
        </w:rPr>
        <w:t>a</w:t>
      </w:r>
      <w:r w:rsidRPr="00072AD9">
        <w:rPr>
          <w:rFonts w:ascii="Arial" w:hAnsi="Arial" w:cs="Arial"/>
          <w:sz w:val="20"/>
          <w:szCs w:val="20"/>
        </w:rPr>
        <w:t xml:space="preserve"> resolution to </w:t>
      </w:r>
      <w:r w:rsidRPr="00072AD9">
        <w:rPr>
          <w:rFonts w:ascii="Arial" w:hAnsi="Arial" w:cs="Arial"/>
          <w:sz w:val="20"/>
          <w:szCs w:val="20"/>
        </w:rPr>
        <w:t>a</w:t>
      </w:r>
      <w:r w:rsidRPr="00072AD9">
        <w:rPr>
          <w:rFonts w:ascii="Arial" w:hAnsi="Arial" w:cs="Arial"/>
          <w:sz w:val="20"/>
          <w:szCs w:val="20"/>
        </w:rPr>
        <w:t xml:space="preserve">pprove </w:t>
      </w:r>
      <w:r w:rsidRPr="00072AD9">
        <w:rPr>
          <w:rFonts w:ascii="Arial" w:hAnsi="Arial" w:cs="Arial"/>
          <w:sz w:val="20"/>
          <w:szCs w:val="20"/>
        </w:rPr>
        <w:t xml:space="preserve">the </w:t>
      </w:r>
      <w:r w:rsidRPr="00072AD9">
        <w:rPr>
          <w:rFonts w:ascii="Arial" w:hAnsi="Arial" w:cs="Arial"/>
          <w:sz w:val="20"/>
          <w:szCs w:val="20"/>
        </w:rPr>
        <w:t xml:space="preserve">Remuneration Implementation Report. The company has not disclosed sufficient information around bonus performance targets and the departing CEO’s leaving arrangements. (Result: 38.7% against). </w:t>
      </w:r>
    </w:p>
    <w:p w:rsidR="001F4EA8" w:rsidRPr="00072AD9" w:rsidP="00530D01">
      <w:pPr>
        <w:spacing w:after="0" w:line="240" w:lineRule="auto"/>
        <w:rPr>
          <w:rFonts w:ascii="Arial" w:hAnsi="Arial" w:cs="Arial"/>
          <w:sz w:val="20"/>
          <w:szCs w:val="20"/>
        </w:rPr>
      </w:pPr>
    </w:p>
    <w:p w:rsidR="001F4EA8" w:rsidRPr="00072AD9" w:rsidP="00530D01">
      <w:pPr>
        <w:spacing w:after="0" w:line="240" w:lineRule="auto"/>
        <w:rPr>
          <w:rFonts w:ascii="Arial" w:hAnsi="Arial" w:cs="Arial"/>
          <w:sz w:val="20"/>
          <w:szCs w:val="20"/>
        </w:rPr>
      </w:pPr>
      <w:r w:rsidRPr="00072AD9">
        <w:rPr>
          <w:rFonts w:ascii="Arial" w:hAnsi="Arial" w:cs="Arial"/>
          <w:sz w:val="20"/>
          <w:szCs w:val="20"/>
        </w:rPr>
        <w:t xml:space="preserve">At Berkeley Group (UK: Homebuilding) </w:t>
      </w:r>
      <w:r w:rsidRPr="00072AD9">
        <w:rPr>
          <w:rFonts w:ascii="Arial" w:hAnsi="Arial" w:cs="Arial"/>
          <w:sz w:val="20"/>
          <w:szCs w:val="20"/>
        </w:rPr>
        <w:t xml:space="preserve">LPPI voted against </w:t>
      </w:r>
      <w:r w:rsidRPr="00072AD9">
        <w:rPr>
          <w:rFonts w:ascii="Arial" w:hAnsi="Arial" w:cs="Arial"/>
          <w:sz w:val="20"/>
          <w:szCs w:val="20"/>
        </w:rPr>
        <w:t>a</w:t>
      </w:r>
      <w:r w:rsidRPr="00072AD9">
        <w:rPr>
          <w:rFonts w:ascii="Arial" w:hAnsi="Arial" w:cs="Arial"/>
          <w:sz w:val="20"/>
          <w:szCs w:val="20"/>
        </w:rPr>
        <w:t xml:space="preserve"> proposal to </w:t>
      </w:r>
      <w:r w:rsidRPr="00072AD9">
        <w:rPr>
          <w:rFonts w:ascii="Arial" w:hAnsi="Arial" w:cs="Arial"/>
          <w:sz w:val="20"/>
          <w:szCs w:val="20"/>
        </w:rPr>
        <w:t>a</w:t>
      </w:r>
      <w:r w:rsidRPr="00072AD9">
        <w:rPr>
          <w:rFonts w:ascii="Arial" w:hAnsi="Arial" w:cs="Arial"/>
          <w:sz w:val="20"/>
          <w:szCs w:val="20"/>
        </w:rPr>
        <w:t xml:space="preserve">pprove </w:t>
      </w:r>
      <w:r w:rsidRPr="00072AD9">
        <w:rPr>
          <w:rFonts w:ascii="Arial" w:hAnsi="Arial" w:cs="Arial"/>
          <w:sz w:val="20"/>
          <w:szCs w:val="20"/>
        </w:rPr>
        <w:t xml:space="preserve">the </w:t>
      </w:r>
      <w:r w:rsidRPr="00072AD9">
        <w:rPr>
          <w:rFonts w:ascii="Arial" w:hAnsi="Arial" w:cs="Arial"/>
          <w:sz w:val="20"/>
          <w:szCs w:val="20"/>
        </w:rPr>
        <w:t xml:space="preserve">Remuneration Policy. The </w:t>
      </w:r>
      <w:r w:rsidRPr="00072AD9">
        <w:rPr>
          <w:rFonts w:ascii="Arial" w:hAnsi="Arial" w:cs="Arial"/>
          <w:sz w:val="20"/>
          <w:szCs w:val="20"/>
        </w:rPr>
        <w:t xml:space="preserve">reworked </w:t>
      </w:r>
      <w:r w:rsidRPr="00072AD9">
        <w:rPr>
          <w:rFonts w:ascii="Arial" w:hAnsi="Arial" w:cs="Arial"/>
          <w:sz w:val="20"/>
          <w:szCs w:val="20"/>
        </w:rPr>
        <w:t>policy sought to extend the long-term incentive plan</w:t>
      </w:r>
      <w:r w:rsidRPr="00072AD9">
        <w:rPr>
          <w:rFonts w:ascii="Arial" w:hAnsi="Arial" w:cs="Arial"/>
          <w:sz w:val="20"/>
          <w:szCs w:val="20"/>
        </w:rPr>
        <w:t xml:space="preserve"> (positive)</w:t>
      </w:r>
      <w:r w:rsidRPr="00072AD9">
        <w:rPr>
          <w:rFonts w:ascii="Arial" w:hAnsi="Arial" w:cs="Arial"/>
          <w:sz w:val="20"/>
          <w:szCs w:val="20"/>
        </w:rPr>
        <w:t xml:space="preserve"> </w:t>
      </w:r>
      <w:r w:rsidRPr="00072AD9">
        <w:rPr>
          <w:rFonts w:ascii="Arial" w:hAnsi="Arial" w:cs="Arial"/>
          <w:sz w:val="20"/>
          <w:szCs w:val="20"/>
        </w:rPr>
        <w:t>but</w:t>
      </w:r>
      <w:r w:rsidRPr="00072AD9">
        <w:rPr>
          <w:rFonts w:ascii="Arial" w:hAnsi="Arial" w:cs="Arial"/>
          <w:sz w:val="20"/>
          <w:szCs w:val="20"/>
        </w:rPr>
        <w:t xml:space="preserve"> its extension </w:t>
      </w:r>
      <w:r w:rsidRPr="00072AD9">
        <w:rPr>
          <w:rFonts w:ascii="Arial" w:hAnsi="Arial" w:cs="Arial"/>
          <w:sz w:val="20"/>
          <w:szCs w:val="20"/>
        </w:rPr>
        <w:t>i</w:t>
      </w:r>
      <w:r w:rsidRPr="00072AD9">
        <w:rPr>
          <w:rFonts w:ascii="Arial" w:hAnsi="Arial" w:cs="Arial"/>
          <w:sz w:val="20"/>
          <w:szCs w:val="20"/>
        </w:rPr>
        <w:t xml:space="preserve">s considered to be delivering </w:t>
      </w:r>
      <w:r w:rsidRPr="00072AD9">
        <w:rPr>
          <w:rFonts w:ascii="Arial" w:hAnsi="Arial" w:cs="Arial"/>
          <w:sz w:val="20"/>
          <w:szCs w:val="20"/>
        </w:rPr>
        <w:t xml:space="preserve">a </w:t>
      </w:r>
      <w:r w:rsidRPr="00072AD9">
        <w:rPr>
          <w:rFonts w:ascii="Arial" w:hAnsi="Arial" w:cs="Arial"/>
          <w:sz w:val="20"/>
          <w:szCs w:val="20"/>
        </w:rPr>
        <w:t>relatively high quantum</w:t>
      </w:r>
      <w:r w:rsidRPr="00072AD9">
        <w:rPr>
          <w:rFonts w:ascii="Arial" w:hAnsi="Arial" w:cs="Arial"/>
          <w:sz w:val="20"/>
          <w:szCs w:val="20"/>
        </w:rPr>
        <w:t xml:space="preserve"> </w:t>
      </w:r>
      <w:r w:rsidRPr="00072AD9">
        <w:rPr>
          <w:rFonts w:ascii="Arial" w:hAnsi="Arial" w:cs="Arial"/>
          <w:sz w:val="20"/>
          <w:szCs w:val="20"/>
        </w:rPr>
        <w:t xml:space="preserve">of reward </w:t>
      </w:r>
      <w:r w:rsidRPr="00072AD9">
        <w:rPr>
          <w:rFonts w:ascii="Arial" w:hAnsi="Arial" w:cs="Arial"/>
          <w:sz w:val="20"/>
          <w:szCs w:val="20"/>
        </w:rPr>
        <w:t>without encouraging enhanced company performance</w:t>
      </w:r>
      <w:r w:rsidRPr="00072AD9">
        <w:rPr>
          <w:rFonts w:ascii="Arial" w:hAnsi="Arial" w:cs="Arial"/>
          <w:sz w:val="20"/>
          <w:szCs w:val="20"/>
        </w:rPr>
        <w:t xml:space="preserve">. (Result: 43% against). </w:t>
      </w:r>
    </w:p>
    <w:p w:rsidR="00846783" w:rsidRPr="00072AD9" w:rsidP="00846783">
      <w:pPr>
        <w:autoSpaceDE w:val="0"/>
        <w:autoSpaceDN w:val="0"/>
        <w:adjustRightInd w:val="0"/>
        <w:spacing w:after="0"/>
        <w:rPr>
          <w:rFonts w:ascii="Arial" w:hAnsi="Arial" w:cs="Arial"/>
          <w:bCs/>
          <w:sz w:val="20"/>
          <w:szCs w:val="20"/>
        </w:rPr>
      </w:pPr>
    </w:p>
    <w:p w:rsidR="00D07010" w:rsidRPr="00072AD9" w:rsidP="00846783">
      <w:pPr>
        <w:spacing w:after="0" w:line="240" w:lineRule="auto"/>
        <w:rPr>
          <w:rFonts w:ascii="Arial" w:hAnsi="Arial" w:cs="Arial"/>
          <w:color w:val="000000"/>
          <w:sz w:val="20"/>
          <w:szCs w:val="20"/>
        </w:rPr>
      </w:pPr>
      <w:r w:rsidRPr="00072AD9">
        <w:rPr>
          <w:rFonts w:ascii="Arial" w:hAnsi="Arial" w:cs="Arial"/>
          <w:color w:val="000000"/>
          <w:sz w:val="20"/>
          <w:szCs w:val="20"/>
        </w:rPr>
        <w:t xml:space="preserve">LPPI supported </w:t>
      </w:r>
      <w:r w:rsidRPr="00072AD9">
        <w:rPr>
          <w:rFonts w:ascii="Arial" w:hAnsi="Arial" w:cs="Arial"/>
          <w:color w:val="000000"/>
          <w:sz w:val="20"/>
          <w:szCs w:val="20"/>
        </w:rPr>
        <w:t>seven</w:t>
      </w:r>
      <w:r w:rsidRPr="00072AD9">
        <w:rPr>
          <w:rFonts w:ascii="Arial" w:hAnsi="Arial" w:cs="Arial"/>
          <w:color w:val="000000"/>
          <w:sz w:val="20"/>
          <w:szCs w:val="20"/>
        </w:rPr>
        <w:t xml:space="preserve"> shareholder proposals across </w:t>
      </w:r>
      <w:r w:rsidRPr="00072AD9">
        <w:rPr>
          <w:rFonts w:ascii="Arial" w:hAnsi="Arial" w:cs="Arial"/>
          <w:color w:val="000000"/>
          <w:sz w:val="20"/>
          <w:szCs w:val="20"/>
        </w:rPr>
        <w:t>eight</w:t>
      </w:r>
      <w:r w:rsidRPr="00072AD9">
        <w:rPr>
          <w:rFonts w:ascii="Arial" w:hAnsi="Arial" w:cs="Arial"/>
          <w:color w:val="000000"/>
          <w:sz w:val="20"/>
          <w:szCs w:val="20"/>
        </w:rPr>
        <w:t xml:space="preserve"> company meetings in Q3.</w:t>
      </w:r>
    </w:p>
    <w:p w:rsidR="00D07010" w:rsidRPr="00072AD9" w:rsidP="00D07010">
      <w:pPr>
        <w:spacing w:after="0" w:line="240" w:lineRule="auto"/>
        <w:rPr>
          <w:rFonts w:ascii="Arial" w:hAnsi="Arial" w:cs="Arial"/>
          <w:sz w:val="20"/>
          <w:szCs w:val="20"/>
        </w:rPr>
      </w:pPr>
      <w:r w:rsidRPr="00072AD9">
        <w:rPr>
          <w:rFonts w:ascii="Arial" w:hAnsi="Arial" w:cs="Arial"/>
          <w:sz w:val="20"/>
          <w:szCs w:val="20"/>
        </w:rPr>
        <w:t>Six of the</w:t>
      </w:r>
      <w:r w:rsidRPr="00072AD9">
        <w:rPr>
          <w:rFonts w:ascii="Arial" w:hAnsi="Arial" w:cs="Arial"/>
          <w:sz w:val="20"/>
          <w:szCs w:val="20"/>
        </w:rPr>
        <w:t xml:space="preserve"> eight</w:t>
      </w:r>
      <w:r w:rsidRPr="00072AD9">
        <w:rPr>
          <w:rFonts w:ascii="Arial" w:hAnsi="Arial" w:cs="Arial"/>
          <w:sz w:val="20"/>
          <w:szCs w:val="20"/>
        </w:rPr>
        <w:t xml:space="preserve"> resolutions related to the election of shareholder nominated independent directors and board supervisors at two Chinese companies. LPPI </w:t>
      </w:r>
      <w:r w:rsidRPr="00072AD9">
        <w:rPr>
          <w:rFonts w:ascii="Arial" w:hAnsi="Arial" w:cs="Arial"/>
          <w:sz w:val="20"/>
          <w:szCs w:val="20"/>
        </w:rPr>
        <w:t xml:space="preserve">supported </w:t>
      </w:r>
      <w:r w:rsidRPr="00072AD9">
        <w:rPr>
          <w:rFonts w:ascii="Arial" w:hAnsi="Arial" w:cs="Arial"/>
          <w:sz w:val="20"/>
          <w:szCs w:val="20"/>
        </w:rPr>
        <w:t xml:space="preserve">the </w:t>
      </w:r>
      <w:r w:rsidRPr="00072AD9">
        <w:rPr>
          <w:rFonts w:ascii="Arial" w:hAnsi="Arial" w:cs="Arial"/>
          <w:sz w:val="20"/>
          <w:szCs w:val="20"/>
        </w:rPr>
        <w:t xml:space="preserve">proposals </w:t>
      </w:r>
      <w:r w:rsidRPr="00072AD9">
        <w:rPr>
          <w:rFonts w:ascii="Arial" w:hAnsi="Arial" w:cs="Arial"/>
          <w:sz w:val="20"/>
          <w:szCs w:val="20"/>
        </w:rPr>
        <w:t xml:space="preserve">in all </w:t>
      </w:r>
      <w:r w:rsidRPr="00072AD9">
        <w:rPr>
          <w:rFonts w:ascii="Arial" w:hAnsi="Arial" w:cs="Arial"/>
          <w:sz w:val="20"/>
          <w:szCs w:val="20"/>
        </w:rPr>
        <w:t>cases</w:t>
      </w:r>
      <w:r w:rsidRPr="00072AD9">
        <w:rPr>
          <w:rFonts w:ascii="Arial" w:hAnsi="Arial" w:cs="Arial"/>
          <w:sz w:val="20"/>
          <w:szCs w:val="20"/>
        </w:rPr>
        <w:t xml:space="preserve">. </w:t>
      </w:r>
    </w:p>
    <w:p w:rsidR="00D07010" w:rsidRPr="00072AD9" w:rsidP="00D07010">
      <w:pPr>
        <w:spacing w:after="0" w:line="240" w:lineRule="auto"/>
        <w:rPr>
          <w:rFonts w:ascii="Arial" w:hAnsi="Arial" w:cs="Arial"/>
          <w:sz w:val="20"/>
          <w:szCs w:val="20"/>
        </w:rPr>
      </w:pPr>
    </w:p>
    <w:p w:rsidR="00D07010" w:rsidRPr="00072AD9" w:rsidP="00D07010">
      <w:pPr>
        <w:spacing w:after="0" w:line="240" w:lineRule="auto"/>
        <w:rPr>
          <w:rFonts w:ascii="Arial" w:hAnsi="Arial" w:cs="Arial"/>
          <w:sz w:val="20"/>
          <w:szCs w:val="20"/>
        </w:rPr>
      </w:pPr>
      <w:r w:rsidRPr="00072AD9">
        <w:rPr>
          <w:rFonts w:ascii="Arial" w:hAnsi="Arial" w:cs="Arial"/>
          <w:sz w:val="20"/>
          <w:szCs w:val="20"/>
        </w:rPr>
        <w:t xml:space="preserve">Two interdependent shareholder resolutions </w:t>
      </w:r>
      <w:r w:rsidRPr="00072AD9">
        <w:rPr>
          <w:rFonts w:ascii="Arial" w:hAnsi="Arial" w:cs="Arial"/>
          <w:sz w:val="20"/>
          <w:szCs w:val="20"/>
        </w:rPr>
        <w:t>arose</w:t>
      </w:r>
      <w:r w:rsidRPr="00072AD9">
        <w:rPr>
          <w:rFonts w:ascii="Arial" w:hAnsi="Arial" w:cs="Arial"/>
          <w:sz w:val="20"/>
          <w:szCs w:val="20"/>
        </w:rPr>
        <w:t xml:space="preserve"> at Suncorp Group</w:t>
      </w:r>
      <w:r w:rsidRPr="00072AD9">
        <w:rPr>
          <w:rFonts w:ascii="Arial" w:hAnsi="Arial" w:cs="Arial"/>
          <w:sz w:val="20"/>
          <w:szCs w:val="20"/>
        </w:rPr>
        <w:t xml:space="preserve"> (Australia: P</w:t>
      </w:r>
      <w:r w:rsidRPr="00072AD9">
        <w:rPr>
          <w:rFonts w:ascii="Arial" w:hAnsi="Arial" w:cs="Arial"/>
          <w:sz w:val="20"/>
          <w:szCs w:val="20"/>
        </w:rPr>
        <w:t>roperty and Casualty Insurance)</w:t>
      </w:r>
      <w:r w:rsidRPr="00072AD9">
        <w:rPr>
          <w:rFonts w:ascii="Arial" w:hAnsi="Arial" w:cs="Arial"/>
          <w:sz w:val="20"/>
          <w:szCs w:val="20"/>
        </w:rPr>
        <w:t xml:space="preserve">. The proponent sought </w:t>
      </w:r>
      <w:r w:rsidRPr="00072AD9">
        <w:rPr>
          <w:rFonts w:ascii="Arial" w:hAnsi="Arial" w:cs="Arial"/>
          <w:sz w:val="20"/>
          <w:szCs w:val="20"/>
        </w:rPr>
        <w:t>support for</w:t>
      </w:r>
      <w:r w:rsidRPr="00072AD9">
        <w:rPr>
          <w:rFonts w:ascii="Arial" w:hAnsi="Arial" w:cs="Arial"/>
          <w:sz w:val="20"/>
          <w:szCs w:val="20"/>
        </w:rPr>
        <w:t xml:space="preserve"> amend</w:t>
      </w:r>
      <w:r w:rsidRPr="00072AD9">
        <w:rPr>
          <w:rFonts w:ascii="Arial" w:hAnsi="Arial" w:cs="Arial"/>
          <w:sz w:val="20"/>
          <w:szCs w:val="20"/>
        </w:rPr>
        <w:t>ing</w:t>
      </w:r>
      <w:r w:rsidRPr="00072AD9">
        <w:rPr>
          <w:rFonts w:ascii="Arial" w:hAnsi="Arial" w:cs="Arial"/>
          <w:sz w:val="20"/>
          <w:szCs w:val="20"/>
        </w:rPr>
        <w:t xml:space="preserve"> the company’s constitution to enable </w:t>
      </w:r>
      <w:r w:rsidRPr="00072AD9">
        <w:rPr>
          <w:rFonts w:ascii="Arial" w:hAnsi="Arial" w:cs="Arial"/>
          <w:sz w:val="20"/>
          <w:szCs w:val="20"/>
        </w:rPr>
        <w:t xml:space="preserve">each </w:t>
      </w:r>
      <w:r w:rsidRPr="00072AD9">
        <w:rPr>
          <w:rFonts w:ascii="Arial" w:hAnsi="Arial" w:cs="Arial"/>
          <w:sz w:val="20"/>
          <w:szCs w:val="20"/>
        </w:rPr>
        <w:t xml:space="preserve">shareholder to place resolutions on the agenda. LPPI voted against the resolution </w:t>
      </w:r>
      <w:r w:rsidRPr="00072AD9">
        <w:rPr>
          <w:rFonts w:ascii="Arial" w:hAnsi="Arial" w:cs="Arial"/>
          <w:sz w:val="20"/>
          <w:szCs w:val="20"/>
        </w:rPr>
        <w:t>due to a</w:t>
      </w:r>
      <w:r w:rsidRPr="00072AD9">
        <w:rPr>
          <w:rFonts w:ascii="Arial" w:hAnsi="Arial" w:cs="Arial"/>
          <w:sz w:val="20"/>
          <w:szCs w:val="20"/>
        </w:rPr>
        <w:t xml:space="preserve"> lack of legal or regulatory supervision of poten</w:t>
      </w:r>
      <w:r w:rsidRPr="00072AD9">
        <w:rPr>
          <w:rFonts w:ascii="Arial" w:hAnsi="Arial" w:cs="Arial"/>
          <w:sz w:val="20"/>
          <w:szCs w:val="20"/>
        </w:rPr>
        <w:t>tial shareholder proposals in Australia</w:t>
      </w:r>
      <w:r>
        <w:rPr>
          <w:rFonts w:ascii="Arial" w:hAnsi="Arial" w:cs="Arial"/>
          <w:sz w:val="20"/>
          <w:szCs w:val="20"/>
        </w:rPr>
        <w:t xml:space="preserve"> (concern that proposal could lead </w:t>
      </w:r>
      <w:r>
        <w:rPr>
          <w:rFonts w:ascii="Arial" w:hAnsi="Arial" w:cs="Arial"/>
          <w:sz w:val="20"/>
          <w:szCs w:val="20"/>
        </w:rPr>
        <w:t>to,</w:t>
      </w:r>
      <w:r w:rsidRPr="00072AD9">
        <w:rPr>
          <w:rFonts w:ascii="Arial" w:hAnsi="Arial" w:cs="Arial"/>
          <w:sz w:val="20"/>
          <w:szCs w:val="20"/>
        </w:rPr>
        <w:t xml:space="preserve"> and because the text </w:t>
      </w:r>
      <w:r w:rsidRPr="00072AD9">
        <w:rPr>
          <w:rFonts w:ascii="Arial" w:hAnsi="Arial" w:cs="Arial"/>
          <w:sz w:val="20"/>
          <w:szCs w:val="20"/>
        </w:rPr>
        <w:t>of</w:t>
      </w:r>
      <w:r w:rsidRPr="00072AD9">
        <w:rPr>
          <w:rFonts w:ascii="Arial" w:hAnsi="Arial" w:cs="Arial"/>
          <w:sz w:val="20"/>
          <w:szCs w:val="20"/>
        </w:rPr>
        <w:t xml:space="preserve"> the proposed </w:t>
      </w:r>
      <w:r w:rsidRPr="00072AD9">
        <w:rPr>
          <w:rFonts w:ascii="Arial" w:hAnsi="Arial" w:cs="Arial"/>
          <w:sz w:val="20"/>
          <w:szCs w:val="20"/>
        </w:rPr>
        <w:t>amendment</w:t>
      </w:r>
      <w:r w:rsidRPr="00072AD9">
        <w:rPr>
          <w:rFonts w:ascii="Arial" w:hAnsi="Arial" w:cs="Arial"/>
          <w:sz w:val="20"/>
          <w:szCs w:val="20"/>
        </w:rPr>
        <w:t xml:space="preserve"> was considered too broad (Result: 95.8% against). </w:t>
      </w:r>
      <w:r w:rsidRPr="00072AD9">
        <w:rPr>
          <w:rFonts w:ascii="Arial" w:hAnsi="Arial" w:cs="Arial"/>
          <w:sz w:val="20"/>
          <w:szCs w:val="20"/>
        </w:rPr>
        <w:t>The</w:t>
      </w:r>
      <w:r w:rsidRPr="00072AD9">
        <w:rPr>
          <w:rFonts w:ascii="Arial" w:hAnsi="Arial" w:cs="Arial"/>
          <w:sz w:val="20"/>
          <w:szCs w:val="20"/>
        </w:rPr>
        <w:t xml:space="preserve"> second resolution, </w:t>
      </w:r>
      <w:r w:rsidRPr="00072AD9">
        <w:rPr>
          <w:rFonts w:ascii="Arial" w:hAnsi="Arial" w:cs="Arial"/>
          <w:sz w:val="20"/>
          <w:szCs w:val="20"/>
        </w:rPr>
        <w:t xml:space="preserve">which </w:t>
      </w:r>
      <w:r w:rsidRPr="00072AD9">
        <w:rPr>
          <w:rFonts w:ascii="Arial" w:hAnsi="Arial" w:cs="Arial"/>
          <w:sz w:val="20"/>
          <w:szCs w:val="20"/>
        </w:rPr>
        <w:t>s</w:t>
      </w:r>
      <w:r w:rsidRPr="00072AD9">
        <w:rPr>
          <w:rFonts w:ascii="Arial" w:hAnsi="Arial" w:cs="Arial"/>
          <w:sz w:val="20"/>
          <w:szCs w:val="20"/>
        </w:rPr>
        <w:t>ought</w:t>
      </w:r>
      <w:r w:rsidRPr="00072AD9">
        <w:rPr>
          <w:rFonts w:ascii="Arial" w:hAnsi="Arial" w:cs="Arial"/>
          <w:sz w:val="20"/>
          <w:szCs w:val="20"/>
        </w:rPr>
        <w:t xml:space="preserve"> </w:t>
      </w:r>
      <w:r w:rsidRPr="00072AD9">
        <w:rPr>
          <w:rFonts w:ascii="Arial" w:hAnsi="Arial" w:cs="Arial"/>
          <w:sz w:val="20"/>
          <w:szCs w:val="20"/>
        </w:rPr>
        <w:t xml:space="preserve">the introduction of </w:t>
      </w:r>
      <w:r w:rsidRPr="00072AD9">
        <w:rPr>
          <w:rFonts w:ascii="Arial" w:hAnsi="Arial" w:cs="Arial"/>
          <w:sz w:val="20"/>
          <w:szCs w:val="20"/>
        </w:rPr>
        <w:t xml:space="preserve">Paris-aligned </w:t>
      </w:r>
      <w:r w:rsidRPr="00072AD9">
        <w:rPr>
          <w:rFonts w:ascii="Arial" w:hAnsi="Arial" w:cs="Arial"/>
          <w:sz w:val="20"/>
          <w:szCs w:val="20"/>
        </w:rPr>
        <w:t xml:space="preserve">targets in </w:t>
      </w:r>
      <w:r w:rsidRPr="00072AD9">
        <w:rPr>
          <w:rFonts w:ascii="Arial" w:hAnsi="Arial" w:cs="Arial"/>
          <w:sz w:val="20"/>
          <w:szCs w:val="20"/>
        </w:rPr>
        <w:t xml:space="preserve">Suncorp’s </w:t>
      </w:r>
      <w:r w:rsidRPr="00072AD9">
        <w:rPr>
          <w:rFonts w:ascii="Arial" w:hAnsi="Arial" w:cs="Arial"/>
          <w:sz w:val="20"/>
          <w:szCs w:val="20"/>
        </w:rPr>
        <w:t>lending and underwriting</w:t>
      </w:r>
      <w:r w:rsidRPr="00072AD9">
        <w:rPr>
          <w:rFonts w:ascii="Arial" w:hAnsi="Arial" w:cs="Arial"/>
          <w:sz w:val="20"/>
          <w:szCs w:val="20"/>
        </w:rPr>
        <w:t xml:space="preserve"> was withdrawn </w:t>
      </w:r>
      <w:r w:rsidRPr="00072AD9">
        <w:rPr>
          <w:rFonts w:ascii="Arial" w:hAnsi="Arial" w:cs="Arial"/>
          <w:sz w:val="20"/>
          <w:szCs w:val="20"/>
        </w:rPr>
        <w:t>(could not be tabled</w:t>
      </w:r>
      <w:r w:rsidRPr="00072AD9">
        <w:rPr>
          <w:rFonts w:ascii="Arial" w:hAnsi="Arial" w:cs="Arial"/>
          <w:sz w:val="20"/>
          <w:szCs w:val="20"/>
        </w:rPr>
        <w:t xml:space="preserve"> at the meeting</w:t>
      </w:r>
      <w:r w:rsidRPr="00072AD9">
        <w:rPr>
          <w:rFonts w:ascii="Arial" w:hAnsi="Arial" w:cs="Arial"/>
          <w:sz w:val="20"/>
          <w:szCs w:val="20"/>
        </w:rPr>
        <w:t>) be</w:t>
      </w:r>
      <w:r w:rsidRPr="00072AD9">
        <w:rPr>
          <w:rFonts w:ascii="Arial" w:hAnsi="Arial" w:cs="Arial"/>
          <w:sz w:val="20"/>
          <w:szCs w:val="20"/>
        </w:rPr>
        <w:t xml:space="preserve">cause it was </w:t>
      </w:r>
      <w:r w:rsidRPr="00072AD9">
        <w:rPr>
          <w:rFonts w:ascii="Arial" w:hAnsi="Arial" w:cs="Arial"/>
          <w:sz w:val="20"/>
          <w:szCs w:val="20"/>
        </w:rPr>
        <w:t xml:space="preserve">dependent on the first resolution passing. </w:t>
      </w:r>
      <w:r w:rsidRPr="00072AD9">
        <w:rPr>
          <w:rFonts w:ascii="Arial" w:hAnsi="Arial" w:cs="Arial"/>
          <w:sz w:val="20"/>
          <w:szCs w:val="20"/>
        </w:rPr>
        <w:t>Had th</w:t>
      </w:r>
      <w:r w:rsidRPr="00072AD9">
        <w:rPr>
          <w:rFonts w:ascii="Arial" w:hAnsi="Arial" w:cs="Arial"/>
          <w:sz w:val="20"/>
          <w:szCs w:val="20"/>
        </w:rPr>
        <w:t>e second</w:t>
      </w:r>
      <w:r w:rsidRPr="00072AD9">
        <w:rPr>
          <w:rFonts w:ascii="Arial" w:hAnsi="Arial" w:cs="Arial"/>
          <w:sz w:val="20"/>
          <w:szCs w:val="20"/>
        </w:rPr>
        <w:t xml:space="preserve"> resolution been tabled, LPPI would have </w:t>
      </w:r>
      <w:r w:rsidRPr="00072AD9">
        <w:rPr>
          <w:rFonts w:ascii="Arial" w:hAnsi="Arial" w:cs="Arial"/>
          <w:sz w:val="20"/>
          <w:szCs w:val="20"/>
        </w:rPr>
        <w:t>voted in favour.</w:t>
      </w:r>
      <w:r w:rsidRPr="00072AD9">
        <w:rPr>
          <w:rFonts w:ascii="Arial" w:hAnsi="Arial" w:cs="Arial"/>
          <w:sz w:val="20"/>
          <w:szCs w:val="20"/>
        </w:rPr>
        <w:t xml:space="preserve"> </w:t>
      </w:r>
    </w:p>
    <w:p w:rsidR="00846783" w:rsidRPr="00072AD9" w:rsidP="00402BD7">
      <w:pPr>
        <w:spacing w:after="0" w:line="240" w:lineRule="auto"/>
        <w:rPr>
          <w:rFonts w:ascii="Arial" w:hAnsi="Arial" w:cs="Arial"/>
          <w:sz w:val="20"/>
          <w:szCs w:val="20"/>
        </w:rPr>
      </w:pPr>
    </w:p>
    <w:p w:rsidR="00486AA1" w:rsidRPr="00072AD9" w:rsidP="00402BD7">
      <w:pPr>
        <w:spacing w:after="0" w:line="240" w:lineRule="auto"/>
        <w:rPr>
          <w:rFonts w:ascii="Arial" w:hAnsi="Arial" w:cs="Arial"/>
          <w:color w:val="000000"/>
          <w:sz w:val="20"/>
          <w:szCs w:val="20"/>
        </w:rPr>
      </w:pPr>
    </w:p>
    <w:p w:rsidR="00846783" w:rsidRPr="00072AD9" w:rsidP="00846783">
      <w:pPr>
        <w:pStyle w:val="treb"/>
        <w:numPr>
          <w:ilvl w:val="0"/>
          <w:numId w:val="2"/>
        </w:numPr>
        <w:spacing w:after="0"/>
        <w:ind w:left="0" w:firstLine="0"/>
        <w:rPr>
          <w:rFonts w:ascii="Arial" w:hAnsi="Arial"/>
          <w:color w:val="44546A" w:themeColor="text2"/>
          <w:sz w:val="20"/>
          <w:szCs w:val="20"/>
        </w:rPr>
      </w:pPr>
      <w:r w:rsidRPr="00072AD9">
        <w:rPr>
          <w:rFonts w:ascii="Arial" w:hAnsi="Arial"/>
          <w:color w:val="44546A" w:themeColor="text2"/>
          <w:sz w:val="20"/>
          <w:szCs w:val="20"/>
        </w:rPr>
        <w:t>Engagement through Partnerships</w:t>
      </w:r>
    </w:p>
    <w:p w:rsidR="00846783" w:rsidRPr="00072AD9" w:rsidP="00846783">
      <w:pPr>
        <w:pStyle w:val="ListParagraph"/>
        <w:autoSpaceDE w:val="0"/>
        <w:autoSpaceDN w:val="0"/>
        <w:adjustRightInd w:val="0"/>
        <w:spacing w:after="0"/>
        <w:ind w:left="0"/>
        <w:rPr>
          <w:rFonts w:ascii="Arial" w:hAnsi="Arial" w:cs="Arial"/>
          <w:color w:val="000000" w:themeColor="text1"/>
          <w:sz w:val="20"/>
          <w:szCs w:val="20"/>
        </w:rPr>
      </w:pPr>
    </w:p>
    <w:p w:rsidR="00846783" w:rsidRPr="00072AD9" w:rsidP="00846783">
      <w:pPr>
        <w:autoSpaceDE w:val="0"/>
        <w:autoSpaceDN w:val="0"/>
        <w:adjustRightInd w:val="0"/>
        <w:spacing w:after="0"/>
        <w:rPr>
          <w:rFonts w:ascii="Arial" w:hAnsi="Arial" w:cs="Arial"/>
          <w:bCs/>
          <w:sz w:val="20"/>
          <w:szCs w:val="20"/>
        </w:rPr>
      </w:pPr>
      <w:r w:rsidRPr="00072AD9">
        <w:rPr>
          <w:rFonts w:ascii="Arial" w:hAnsi="Arial" w:cs="Arial"/>
          <w:bCs/>
          <w:sz w:val="20"/>
          <w:szCs w:val="20"/>
        </w:rPr>
        <w:t>LPPI</w:t>
      </w:r>
      <w:r w:rsidRPr="00072AD9">
        <w:rPr>
          <w:rFonts w:ascii="Arial" w:hAnsi="Arial" w:cs="Arial"/>
          <w:bCs/>
          <w:sz w:val="20"/>
          <w:szCs w:val="20"/>
        </w:rPr>
        <w:t xml:space="preserve"> regularly participates in collaborations which aim to make progress on commonly held issues by co-ordinating the efforts of multiple investors. Key partners include the Local Authority Pension Fund Forum (LAPFF) the Pensions and Lifetime Savings Associati</w:t>
      </w:r>
      <w:r w:rsidRPr="00072AD9">
        <w:rPr>
          <w:rFonts w:ascii="Arial" w:hAnsi="Arial" w:cs="Arial"/>
          <w:bCs/>
          <w:sz w:val="20"/>
          <w:szCs w:val="20"/>
        </w:rPr>
        <w:t>on (PLSA) the Principles of Responsible Investment (PRI) the Institutional Investor Group on Climate Change (IIGCC) the LGPS Cross Pool RI Group, and the UK Pension Scheme RI Roundtable.</w:t>
      </w:r>
    </w:p>
    <w:p w:rsidR="00846783" w:rsidRPr="00072AD9" w:rsidP="00846783">
      <w:pPr>
        <w:autoSpaceDE w:val="0"/>
        <w:autoSpaceDN w:val="0"/>
        <w:adjustRightInd w:val="0"/>
        <w:spacing w:after="0"/>
        <w:rPr>
          <w:rFonts w:ascii="Arial" w:hAnsi="Arial" w:cs="Arial"/>
          <w:bCs/>
          <w:color w:val="000000" w:themeColor="text1"/>
          <w:sz w:val="20"/>
          <w:szCs w:val="20"/>
        </w:rPr>
      </w:pPr>
    </w:p>
    <w:p w:rsidR="00846783" w:rsidRPr="00072AD9" w:rsidP="00846783">
      <w:pPr>
        <w:autoSpaceDE w:val="0"/>
        <w:autoSpaceDN w:val="0"/>
        <w:adjustRightInd w:val="0"/>
        <w:spacing w:after="0"/>
        <w:rPr>
          <w:rFonts w:ascii="Arial" w:hAnsi="Arial" w:cs="Arial"/>
          <w:b/>
          <w:bCs/>
          <w:color w:val="000000" w:themeColor="text1" w:themeShade="80"/>
          <w:sz w:val="20"/>
          <w:szCs w:val="20"/>
        </w:rPr>
      </w:pPr>
      <w:r w:rsidRPr="00072AD9">
        <w:rPr>
          <w:rFonts w:ascii="Arial" w:hAnsi="Arial" w:cs="Arial"/>
          <w:b/>
          <w:bCs/>
          <w:color w:val="000000" w:themeColor="text1" w:themeShade="80"/>
          <w:sz w:val="20"/>
          <w:szCs w:val="20"/>
        </w:rPr>
        <w:t>LAPFF</w:t>
      </w:r>
    </w:p>
    <w:p w:rsidR="00846783" w:rsidP="00846783">
      <w:pPr>
        <w:spacing w:after="0"/>
        <w:rPr>
          <w:rFonts w:ascii="Arial" w:hAnsi="Arial" w:cs="Arial"/>
          <w:bCs/>
          <w:color w:val="000000" w:themeColor="text1"/>
          <w:sz w:val="20"/>
          <w:szCs w:val="20"/>
        </w:rPr>
      </w:pPr>
    </w:p>
    <w:p w:rsidR="00846783" w:rsidRPr="004614CC" w:rsidP="00846783">
      <w:pPr>
        <w:spacing w:after="0"/>
        <w:rPr>
          <w:rFonts w:ascii="Arial" w:hAnsi="Arial" w:cs="Arial"/>
          <w:sz w:val="20"/>
          <w:szCs w:val="20"/>
        </w:rPr>
      </w:pPr>
      <w:r w:rsidRPr="004614CC">
        <w:rPr>
          <w:rFonts w:ascii="Arial" w:hAnsi="Arial" w:cs="Arial"/>
          <w:snapToGrid w:val="0"/>
          <w:color w:val="000000" w:themeColor="text1" w:themeShade="80"/>
          <w:sz w:val="20"/>
          <w:szCs w:val="20"/>
        </w:rPr>
        <w:t xml:space="preserve">LAPFF has long been LCPF's preferred engagement partner. The </w:t>
      </w:r>
      <w:r w:rsidRPr="004614CC">
        <w:rPr>
          <w:rFonts w:ascii="Arial" w:hAnsi="Arial" w:cs="Arial"/>
          <w:snapToGrid w:val="0"/>
          <w:color w:val="000000" w:themeColor="text1" w:themeShade="80"/>
          <w:sz w:val="20"/>
          <w:szCs w:val="20"/>
        </w:rPr>
        <w:t>Fund is a long-standing member of the Forum and the Head of Fund and Chair of the Pension Fund Committee both currently sit on the LAPFF Executive.</w:t>
      </w:r>
    </w:p>
    <w:p w:rsidR="00846783" w:rsidRPr="004614CC" w:rsidP="00846783">
      <w:pPr>
        <w:contextualSpacing/>
        <w:rPr>
          <w:rFonts w:ascii="Arial" w:hAnsi="Arial" w:cs="Arial"/>
          <w:sz w:val="20"/>
          <w:szCs w:val="20"/>
        </w:rPr>
      </w:pPr>
    </w:p>
    <w:p w:rsidR="00AC735D" w:rsidRPr="005B6E18" w:rsidP="00AC735D">
      <w:pPr>
        <w:contextualSpacing/>
        <w:rPr>
          <w:rFonts w:ascii="Arial" w:hAnsi="Arial" w:cs="Arial"/>
          <w:sz w:val="20"/>
          <w:szCs w:val="20"/>
        </w:rPr>
      </w:pPr>
      <w:r w:rsidRPr="004614CC">
        <w:rPr>
          <w:rFonts w:ascii="Arial" w:hAnsi="Arial" w:cs="Arial"/>
          <w:sz w:val="20"/>
          <w:szCs w:val="20"/>
        </w:rPr>
        <w:t xml:space="preserve">LAPFF provide </w:t>
      </w:r>
      <w:r>
        <w:rPr>
          <w:rFonts w:ascii="Arial" w:hAnsi="Arial" w:cs="Arial"/>
          <w:sz w:val="20"/>
          <w:szCs w:val="20"/>
        </w:rPr>
        <w:t>information on</w:t>
      </w:r>
      <w:r w:rsidRPr="004614CC">
        <w:rPr>
          <w:rFonts w:ascii="Arial" w:hAnsi="Arial" w:cs="Arial"/>
          <w:sz w:val="20"/>
          <w:szCs w:val="20"/>
        </w:rPr>
        <w:t xml:space="preserve"> engagement activities undertaken on behalf of member funds</w:t>
      </w:r>
      <w:r>
        <w:rPr>
          <w:rFonts w:ascii="Arial" w:hAnsi="Arial" w:cs="Arial"/>
          <w:sz w:val="20"/>
          <w:szCs w:val="20"/>
        </w:rPr>
        <w:t xml:space="preserve"> by publishing Quarterly Engagement Reports (QER). </w:t>
      </w:r>
      <w:r>
        <w:rPr>
          <w:rFonts w:ascii="Arial" w:hAnsi="Arial" w:cs="Arial"/>
          <w:sz w:val="20"/>
          <w:szCs w:val="20"/>
        </w:rPr>
        <w:t xml:space="preserve">Based on </w:t>
      </w:r>
      <w:r>
        <w:rPr>
          <w:rFonts w:ascii="Arial" w:hAnsi="Arial" w:cs="Arial"/>
          <w:sz w:val="20"/>
          <w:szCs w:val="20"/>
        </w:rPr>
        <w:t>the</w:t>
      </w:r>
      <w:r>
        <w:rPr>
          <w:rFonts w:ascii="Arial" w:hAnsi="Arial" w:cs="Arial"/>
          <w:sz w:val="20"/>
          <w:szCs w:val="20"/>
        </w:rPr>
        <w:t xml:space="preserve"> content </w:t>
      </w:r>
      <w:r>
        <w:rPr>
          <w:rFonts w:ascii="Arial" w:hAnsi="Arial" w:cs="Arial"/>
          <w:sz w:val="20"/>
          <w:szCs w:val="20"/>
        </w:rPr>
        <w:t xml:space="preserve">of these reports </w:t>
      </w:r>
      <w:r>
        <w:rPr>
          <w:rFonts w:ascii="Arial" w:hAnsi="Arial" w:cs="Arial"/>
          <w:sz w:val="20"/>
          <w:szCs w:val="20"/>
        </w:rPr>
        <w:t>i</w:t>
      </w:r>
      <w:r>
        <w:rPr>
          <w:rFonts w:ascii="Arial" w:hAnsi="Arial" w:cs="Arial"/>
          <w:sz w:val="20"/>
          <w:szCs w:val="20"/>
        </w:rPr>
        <w:t>t has previously been possible to</w:t>
      </w:r>
      <w:r>
        <w:rPr>
          <w:rFonts w:ascii="Arial" w:hAnsi="Arial" w:cs="Arial"/>
          <w:sz w:val="20"/>
          <w:szCs w:val="20"/>
        </w:rPr>
        <w:t xml:space="preserve"> </w:t>
      </w:r>
      <w:r>
        <w:rPr>
          <w:rFonts w:ascii="Arial" w:hAnsi="Arial" w:cs="Arial"/>
          <w:sz w:val="20"/>
          <w:szCs w:val="20"/>
        </w:rPr>
        <w:t xml:space="preserve">provide committee members with </w:t>
      </w:r>
      <w:r>
        <w:rPr>
          <w:rFonts w:ascii="Arial" w:hAnsi="Arial" w:cs="Arial"/>
          <w:sz w:val="20"/>
          <w:szCs w:val="20"/>
        </w:rPr>
        <w:t xml:space="preserve">quantitative information on </w:t>
      </w:r>
      <w:r>
        <w:rPr>
          <w:rFonts w:ascii="Arial" w:hAnsi="Arial" w:cs="Arial"/>
          <w:sz w:val="20"/>
          <w:szCs w:val="20"/>
        </w:rPr>
        <w:t xml:space="preserve">LAPFF </w:t>
      </w:r>
      <w:r>
        <w:rPr>
          <w:rFonts w:ascii="Arial" w:hAnsi="Arial" w:cs="Arial"/>
          <w:sz w:val="20"/>
          <w:szCs w:val="20"/>
        </w:rPr>
        <w:t>engagement activit</w:t>
      </w:r>
      <w:r>
        <w:rPr>
          <w:rFonts w:ascii="Arial" w:hAnsi="Arial" w:cs="Arial"/>
          <w:sz w:val="20"/>
          <w:szCs w:val="20"/>
        </w:rPr>
        <w:t>ies</w:t>
      </w:r>
      <w:r>
        <w:rPr>
          <w:rFonts w:ascii="Arial" w:hAnsi="Arial" w:cs="Arial"/>
          <w:sz w:val="20"/>
          <w:szCs w:val="20"/>
        </w:rPr>
        <w:t>. However,</w:t>
      </w:r>
      <w:r>
        <w:rPr>
          <w:rFonts w:ascii="Arial" w:hAnsi="Arial" w:cs="Arial"/>
          <w:sz w:val="20"/>
          <w:szCs w:val="20"/>
        </w:rPr>
        <w:t xml:space="preserve"> </w:t>
      </w:r>
      <w:r>
        <w:rPr>
          <w:rFonts w:ascii="Arial" w:hAnsi="Arial" w:cs="Arial"/>
          <w:sz w:val="20"/>
          <w:szCs w:val="20"/>
        </w:rPr>
        <w:t>a “new look” QER</w:t>
      </w:r>
      <w:r>
        <w:rPr>
          <w:rFonts w:ascii="Arial" w:hAnsi="Arial" w:cs="Arial"/>
          <w:sz w:val="20"/>
          <w:szCs w:val="20"/>
        </w:rPr>
        <w:t xml:space="preserve"> has </w:t>
      </w:r>
      <w:r>
        <w:rPr>
          <w:rFonts w:ascii="Arial" w:hAnsi="Arial" w:cs="Arial"/>
          <w:sz w:val="20"/>
          <w:szCs w:val="20"/>
        </w:rPr>
        <w:t xml:space="preserve">recently </w:t>
      </w:r>
      <w:r>
        <w:rPr>
          <w:rFonts w:ascii="Arial" w:hAnsi="Arial" w:cs="Arial"/>
          <w:sz w:val="20"/>
          <w:szCs w:val="20"/>
        </w:rPr>
        <w:t xml:space="preserve">been </w:t>
      </w:r>
      <w:r>
        <w:rPr>
          <w:rFonts w:ascii="Arial" w:hAnsi="Arial" w:cs="Arial"/>
          <w:sz w:val="20"/>
          <w:szCs w:val="20"/>
        </w:rPr>
        <w:t>introduced</w:t>
      </w:r>
      <w:r>
        <w:rPr>
          <w:rFonts w:ascii="Arial" w:hAnsi="Arial" w:cs="Arial"/>
          <w:sz w:val="20"/>
          <w:szCs w:val="20"/>
        </w:rPr>
        <w:t xml:space="preserve"> which </w:t>
      </w:r>
      <w:r>
        <w:rPr>
          <w:rFonts w:ascii="Arial" w:hAnsi="Arial" w:cs="Arial"/>
          <w:sz w:val="20"/>
          <w:szCs w:val="20"/>
        </w:rPr>
        <w:t xml:space="preserve">places greater </w:t>
      </w:r>
      <w:r>
        <w:rPr>
          <w:rFonts w:ascii="Arial" w:hAnsi="Arial" w:cs="Arial"/>
          <w:sz w:val="20"/>
          <w:szCs w:val="20"/>
        </w:rPr>
        <w:t>focus</w:t>
      </w:r>
      <w:r>
        <w:rPr>
          <w:rFonts w:ascii="Arial" w:hAnsi="Arial" w:cs="Arial"/>
          <w:sz w:val="20"/>
          <w:szCs w:val="20"/>
        </w:rPr>
        <w:t xml:space="preserve"> </w:t>
      </w:r>
      <w:r>
        <w:rPr>
          <w:rFonts w:ascii="Arial" w:hAnsi="Arial" w:cs="Arial"/>
          <w:sz w:val="20"/>
          <w:szCs w:val="20"/>
        </w:rPr>
        <w:t xml:space="preserve">on narrative </w:t>
      </w:r>
      <w:r>
        <w:rPr>
          <w:rFonts w:ascii="Arial" w:hAnsi="Arial" w:cs="Arial"/>
          <w:sz w:val="20"/>
          <w:szCs w:val="20"/>
        </w:rPr>
        <w:t xml:space="preserve">content and includes </w:t>
      </w:r>
      <w:r>
        <w:rPr>
          <w:rFonts w:ascii="Arial" w:hAnsi="Arial" w:cs="Arial"/>
          <w:sz w:val="20"/>
          <w:szCs w:val="20"/>
        </w:rPr>
        <w:t>select</w:t>
      </w:r>
      <w:r>
        <w:rPr>
          <w:rFonts w:ascii="Arial" w:hAnsi="Arial" w:cs="Arial"/>
          <w:sz w:val="20"/>
          <w:szCs w:val="20"/>
        </w:rPr>
        <w:t>ive</w:t>
      </w:r>
      <w:r>
        <w:rPr>
          <w:rFonts w:ascii="Arial" w:hAnsi="Arial" w:cs="Arial"/>
          <w:sz w:val="20"/>
          <w:szCs w:val="20"/>
        </w:rPr>
        <w:t xml:space="preserve"> </w:t>
      </w:r>
      <w:r>
        <w:rPr>
          <w:rFonts w:ascii="Arial" w:hAnsi="Arial" w:cs="Arial"/>
          <w:sz w:val="20"/>
          <w:szCs w:val="20"/>
        </w:rPr>
        <w:t xml:space="preserve">examples </w:t>
      </w:r>
      <w:r>
        <w:rPr>
          <w:rFonts w:ascii="Arial" w:hAnsi="Arial" w:cs="Arial"/>
          <w:sz w:val="20"/>
          <w:szCs w:val="20"/>
        </w:rPr>
        <w:t xml:space="preserve">rather than </w:t>
      </w:r>
      <w:r>
        <w:rPr>
          <w:rFonts w:ascii="Arial" w:hAnsi="Arial" w:cs="Arial"/>
          <w:sz w:val="20"/>
          <w:szCs w:val="20"/>
        </w:rPr>
        <w:t xml:space="preserve">the former range of </w:t>
      </w:r>
      <w:r>
        <w:rPr>
          <w:rFonts w:ascii="Arial" w:hAnsi="Arial" w:cs="Arial"/>
          <w:sz w:val="20"/>
          <w:szCs w:val="20"/>
        </w:rPr>
        <w:t>summary metrics</w:t>
      </w:r>
      <w:r>
        <w:rPr>
          <w:rFonts w:ascii="Arial" w:hAnsi="Arial" w:cs="Arial"/>
          <w:sz w:val="20"/>
          <w:szCs w:val="20"/>
        </w:rPr>
        <w:t xml:space="preserve">. For this </w:t>
      </w:r>
      <w:r>
        <w:rPr>
          <w:rFonts w:ascii="Arial" w:hAnsi="Arial" w:cs="Arial"/>
          <w:sz w:val="20"/>
          <w:szCs w:val="20"/>
        </w:rPr>
        <w:t>reason,</w:t>
      </w:r>
      <w:r>
        <w:rPr>
          <w:rFonts w:ascii="Arial" w:hAnsi="Arial" w:cs="Arial"/>
          <w:sz w:val="20"/>
          <w:szCs w:val="20"/>
        </w:rPr>
        <w:t xml:space="preserve"> it is </w:t>
      </w:r>
      <w:r>
        <w:rPr>
          <w:rFonts w:ascii="Arial" w:hAnsi="Arial" w:cs="Arial"/>
          <w:sz w:val="20"/>
          <w:szCs w:val="20"/>
        </w:rPr>
        <w:t xml:space="preserve">no longer </w:t>
      </w:r>
      <w:r>
        <w:rPr>
          <w:rFonts w:ascii="Arial" w:hAnsi="Arial" w:cs="Arial"/>
          <w:sz w:val="20"/>
          <w:szCs w:val="20"/>
        </w:rPr>
        <w:t>possible to provide the familiar tables.</w:t>
      </w:r>
      <w:r>
        <w:rPr>
          <w:rFonts w:ascii="Arial" w:hAnsi="Arial" w:cs="Arial"/>
          <w:sz w:val="20"/>
          <w:szCs w:val="20"/>
        </w:rPr>
        <w:t xml:space="preserve"> </w:t>
      </w:r>
      <w:r>
        <w:rPr>
          <w:rFonts w:ascii="Arial" w:hAnsi="Arial" w:cs="Arial"/>
          <w:sz w:val="20"/>
          <w:szCs w:val="20"/>
        </w:rPr>
        <w:t>T</w:t>
      </w:r>
      <w:r>
        <w:rPr>
          <w:rFonts w:ascii="Arial" w:hAnsi="Arial" w:cs="Arial"/>
          <w:sz w:val="20"/>
          <w:szCs w:val="20"/>
        </w:rPr>
        <w:t>o enable members to review the Forum’s fu</w:t>
      </w:r>
      <w:r>
        <w:rPr>
          <w:rFonts w:ascii="Arial" w:hAnsi="Arial" w:cs="Arial"/>
          <w:sz w:val="20"/>
          <w:szCs w:val="20"/>
        </w:rPr>
        <w:t xml:space="preserve">ll account of engagement activity in the period </w:t>
      </w:r>
      <w:r>
        <w:rPr>
          <w:rFonts w:ascii="Arial" w:hAnsi="Arial" w:cs="Arial"/>
          <w:sz w:val="20"/>
          <w:szCs w:val="20"/>
        </w:rPr>
        <w:t>a</w:t>
      </w:r>
      <w:r>
        <w:rPr>
          <w:rFonts w:ascii="Arial" w:hAnsi="Arial" w:cs="Arial"/>
          <w:sz w:val="20"/>
          <w:szCs w:val="20"/>
        </w:rPr>
        <w:t xml:space="preserve"> link to the </w:t>
      </w:r>
      <w:r>
        <w:rPr>
          <w:rFonts w:ascii="Arial" w:hAnsi="Arial" w:cs="Arial"/>
          <w:sz w:val="20"/>
          <w:szCs w:val="20"/>
        </w:rPr>
        <w:t xml:space="preserve">2019 </w:t>
      </w:r>
      <w:r>
        <w:rPr>
          <w:rFonts w:ascii="Arial" w:hAnsi="Arial" w:cs="Arial"/>
          <w:sz w:val="20"/>
          <w:szCs w:val="20"/>
        </w:rPr>
        <w:t xml:space="preserve">Q3 QER is provided </w:t>
      </w:r>
      <w:r>
        <w:rPr>
          <w:rFonts w:ascii="Arial" w:hAnsi="Arial" w:cs="Arial"/>
          <w:sz w:val="20"/>
          <w:szCs w:val="20"/>
        </w:rPr>
        <w:t>below.</w:t>
      </w:r>
    </w:p>
    <w:p w:rsidR="00AC735D" w:rsidP="00AC735D">
      <w:pPr>
        <w:autoSpaceDE w:val="0"/>
        <w:autoSpaceDN w:val="0"/>
        <w:adjustRightInd w:val="0"/>
        <w:spacing w:after="0" w:line="240" w:lineRule="auto"/>
        <w:rPr>
          <w:rFonts w:ascii="Arial" w:hAnsi="Arial" w:cs="Arial"/>
          <w:sz w:val="20"/>
          <w:szCs w:val="20"/>
        </w:rPr>
      </w:pPr>
      <w:r>
        <w:fldChar w:fldCharType="begin"/>
      </w:r>
      <w:r>
        <w:instrText xml:space="preserve"> HYPERLINK "http://www.lapfforum.org/wp-content/members-folder2017/2019/LAPFFQERQ3FINAL.pdf" </w:instrText>
      </w:r>
      <w:r>
        <w:fldChar w:fldCharType="separate"/>
      </w:r>
      <w:r w:rsidRPr="00CF35C7">
        <w:rPr>
          <w:rStyle w:val="Hyperlink"/>
          <w:rFonts w:ascii="Arial" w:hAnsi="Arial" w:cs="Arial"/>
          <w:sz w:val="20"/>
          <w:szCs w:val="20"/>
        </w:rPr>
        <w:t>http://www.lapfforum.org/wp-content/members-folder2017/2019/LAPFFQERQ3FINAL.pdf</w:t>
      </w:r>
      <w:r>
        <w:fldChar w:fldCharType="end"/>
      </w:r>
    </w:p>
    <w:p w:rsidR="00846783" w:rsidP="00846783">
      <w:pPr>
        <w:autoSpaceDE w:val="0"/>
        <w:autoSpaceDN w:val="0"/>
        <w:adjustRightInd w:val="0"/>
        <w:spacing w:after="0" w:line="240" w:lineRule="auto"/>
        <w:rPr>
          <w:rFonts w:ascii="Arial" w:hAnsi="Arial" w:cs="Arial"/>
          <w:sz w:val="20"/>
          <w:szCs w:val="20"/>
        </w:rPr>
      </w:pPr>
    </w:p>
    <w:p w:rsidR="00DB0080" w:rsidP="00846783">
      <w:pPr>
        <w:spacing w:after="0"/>
        <w:jc w:val="both"/>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LAPPF have undertaken analysis of the voting records of asset managers managing LGPS assets and have reported back results which confirm a lack of disclosure by some (which</w:t>
      </w:r>
      <w:r>
        <w:rPr>
          <w:rFonts w:ascii="Arial" w:hAnsi="Arial" w:cs="Arial"/>
          <w:snapToGrid w:val="0"/>
          <w:color w:val="000000" w:themeColor="text1" w:themeShade="80"/>
          <w:sz w:val="20"/>
          <w:szCs w:val="20"/>
        </w:rPr>
        <w:t xml:space="preserve"> hampers analysis) and some degree of misalignment between LAPFF voting alerts (and the recommendations they make to Funds) and the way in which fund managers voted.  </w:t>
      </w:r>
      <w:r>
        <w:rPr>
          <w:rFonts w:ascii="Arial" w:hAnsi="Arial" w:cs="Arial"/>
          <w:snapToGrid w:val="0"/>
          <w:color w:val="000000" w:themeColor="text1" w:themeShade="80"/>
          <w:sz w:val="20"/>
          <w:szCs w:val="20"/>
        </w:rPr>
        <w:t>The LAPFF analysis did not include any tabulation of voting by LGPS pools despite a numbe</w:t>
      </w:r>
      <w:r>
        <w:rPr>
          <w:rFonts w:ascii="Arial" w:hAnsi="Arial" w:cs="Arial"/>
          <w:snapToGrid w:val="0"/>
          <w:color w:val="000000" w:themeColor="text1" w:themeShade="80"/>
          <w:sz w:val="20"/>
          <w:szCs w:val="20"/>
        </w:rPr>
        <w:t>r overseeing voting centrally rather than delegating it to individual asset managers.</w:t>
      </w:r>
    </w:p>
    <w:p w:rsidR="00DB0080" w:rsidP="00846783">
      <w:pPr>
        <w:spacing w:after="0"/>
        <w:jc w:val="both"/>
        <w:rPr>
          <w:rFonts w:ascii="Arial" w:hAnsi="Arial" w:cs="Arial"/>
          <w:snapToGrid w:val="0"/>
          <w:color w:val="000000" w:themeColor="text1" w:themeShade="80"/>
          <w:sz w:val="20"/>
          <w:szCs w:val="20"/>
        </w:rPr>
      </w:pPr>
    </w:p>
    <w:p w:rsidR="00846783" w:rsidP="00846783">
      <w:pPr>
        <w:spacing w:after="0"/>
        <w:jc w:val="both"/>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 xml:space="preserve">Shareholder voting for the LPPI Global Equities Fund through which LCPF invests in listed equities is overseen by the RI team and </w:t>
      </w:r>
      <w:r>
        <w:rPr>
          <w:rFonts w:ascii="Arial" w:hAnsi="Arial" w:cs="Arial"/>
          <w:snapToGrid w:val="0"/>
          <w:color w:val="000000" w:themeColor="text1" w:themeShade="80"/>
          <w:sz w:val="20"/>
          <w:szCs w:val="20"/>
        </w:rPr>
        <w:t xml:space="preserve">voting </w:t>
      </w:r>
      <w:r>
        <w:rPr>
          <w:rFonts w:ascii="Arial" w:hAnsi="Arial" w:cs="Arial"/>
          <w:snapToGrid w:val="0"/>
          <w:color w:val="000000" w:themeColor="text1" w:themeShade="80"/>
          <w:sz w:val="20"/>
          <w:szCs w:val="20"/>
        </w:rPr>
        <w:t>decisions incorporate recommenda</w:t>
      </w:r>
      <w:r>
        <w:rPr>
          <w:rFonts w:ascii="Arial" w:hAnsi="Arial" w:cs="Arial"/>
          <w:snapToGrid w:val="0"/>
          <w:color w:val="000000" w:themeColor="text1" w:themeShade="80"/>
          <w:sz w:val="20"/>
          <w:szCs w:val="20"/>
        </w:rPr>
        <w:t>tions from a</w:t>
      </w:r>
      <w:r>
        <w:rPr>
          <w:rFonts w:ascii="Arial" w:hAnsi="Arial" w:cs="Arial"/>
          <w:snapToGrid w:val="0"/>
          <w:color w:val="000000" w:themeColor="text1" w:themeShade="80"/>
          <w:sz w:val="20"/>
          <w:szCs w:val="20"/>
        </w:rPr>
        <w:t>n external</w:t>
      </w:r>
      <w:r>
        <w:rPr>
          <w:rFonts w:ascii="Arial" w:hAnsi="Arial" w:cs="Arial"/>
          <w:snapToGrid w:val="0"/>
          <w:color w:val="000000" w:themeColor="text1" w:themeShade="80"/>
          <w:sz w:val="20"/>
          <w:szCs w:val="20"/>
        </w:rPr>
        <w:t xml:space="preserve"> voting provider based on sustainability (ESG) focussed voting guidelines</w:t>
      </w:r>
      <w:r>
        <w:rPr>
          <w:rFonts w:ascii="Arial" w:hAnsi="Arial" w:cs="Arial"/>
          <w:snapToGrid w:val="0"/>
          <w:color w:val="000000" w:themeColor="text1" w:themeShade="80"/>
          <w:sz w:val="20"/>
          <w:szCs w:val="20"/>
        </w:rPr>
        <w:t>.</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W</w:t>
      </w:r>
      <w:r>
        <w:rPr>
          <w:rFonts w:ascii="Arial" w:hAnsi="Arial" w:cs="Arial"/>
          <w:snapToGrid w:val="0"/>
          <w:color w:val="000000" w:themeColor="text1" w:themeShade="80"/>
          <w:sz w:val="20"/>
          <w:szCs w:val="20"/>
        </w:rPr>
        <w:t xml:space="preserve">ider information is </w:t>
      </w:r>
      <w:r>
        <w:rPr>
          <w:rFonts w:ascii="Arial" w:hAnsi="Arial" w:cs="Arial"/>
          <w:snapToGrid w:val="0"/>
          <w:color w:val="000000" w:themeColor="text1" w:themeShade="80"/>
          <w:sz w:val="20"/>
          <w:szCs w:val="20"/>
        </w:rPr>
        <w:t xml:space="preserve">considered where </w:t>
      </w:r>
      <w:r>
        <w:rPr>
          <w:rFonts w:ascii="Arial" w:hAnsi="Arial" w:cs="Arial"/>
          <w:snapToGrid w:val="0"/>
          <w:color w:val="000000" w:themeColor="text1" w:themeShade="80"/>
          <w:sz w:val="20"/>
          <w:szCs w:val="20"/>
        </w:rPr>
        <w:t>pertinent</w:t>
      </w:r>
      <w:r>
        <w:rPr>
          <w:rFonts w:ascii="Arial" w:hAnsi="Arial" w:cs="Arial"/>
          <w:snapToGrid w:val="0"/>
          <w:color w:val="000000" w:themeColor="text1" w:themeShade="80"/>
          <w:sz w:val="20"/>
          <w:szCs w:val="20"/>
        </w:rPr>
        <w:t xml:space="preserve"> and i</w:t>
      </w:r>
      <w:r>
        <w:rPr>
          <w:rFonts w:ascii="Arial" w:hAnsi="Arial" w:cs="Arial"/>
          <w:snapToGrid w:val="0"/>
          <w:color w:val="000000" w:themeColor="text1" w:themeShade="80"/>
          <w:sz w:val="20"/>
          <w:szCs w:val="20"/>
        </w:rPr>
        <w:t>f</w:t>
      </w:r>
      <w:r>
        <w:rPr>
          <w:rFonts w:ascii="Arial" w:hAnsi="Arial" w:cs="Arial"/>
          <w:snapToGrid w:val="0"/>
          <w:color w:val="000000" w:themeColor="text1" w:themeShade="80"/>
          <w:sz w:val="20"/>
          <w:szCs w:val="20"/>
        </w:rPr>
        <w:t xml:space="preserve"> LAPFF issue</w:t>
      </w:r>
      <w:r>
        <w:rPr>
          <w:rFonts w:ascii="Arial" w:hAnsi="Arial" w:cs="Arial"/>
          <w:snapToGrid w:val="0"/>
          <w:color w:val="000000" w:themeColor="text1" w:themeShade="80"/>
          <w:sz w:val="20"/>
          <w:szCs w:val="20"/>
        </w:rPr>
        <w:t>s</w:t>
      </w:r>
      <w:r>
        <w:rPr>
          <w:rFonts w:ascii="Arial" w:hAnsi="Arial" w:cs="Arial"/>
          <w:snapToGrid w:val="0"/>
          <w:color w:val="000000" w:themeColor="text1" w:themeShade="80"/>
          <w:sz w:val="20"/>
          <w:szCs w:val="20"/>
        </w:rPr>
        <w:t xml:space="preserve"> a voting alert which relates to a company in the GEF consideration is given to the points r</w:t>
      </w:r>
      <w:r>
        <w:rPr>
          <w:rFonts w:ascii="Arial" w:hAnsi="Arial" w:cs="Arial"/>
          <w:snapToGrid w:val="0"/>
          <w:color w:val="000000" w:themeColor="text1" w:themeShade="80"/>
          <w:sz w:val="20"/>
          <w:szCs w:val="20"/>
        </w:rPr>
        <w:t xml:space="preserve">aised as part of </w:t>
      </w:r>
      <w:r>
        <w:rPr>
          <w:rFonts w:ascii="Arial" w:hAnsi="Arial" w:cs="Arial"/>
          <w:snapToGrid w:val="0"/>
          <w:color w:val="000000" w:themeColor="text1" w:themeShade="80"/>
          <w:sz w:val="20"/>
          <w:szCs w:val="20"/>
        </w:rPr>
        <w:t xml:space="preserve">reaching a </w:t>
      </w:r>
      <w:r>
        <w:rPr>
          <w:rFonts w:ascii="Arial" w:hAnsi="Arial" w:cs="Arial"/>
          <w:snapToGrid w:val="0"/>
          <w:color w:val="000000" w:themeColor="text1" w:themeShade="80"/>
          <w:sz w:val="20"/>
          <w:szCs w:val="20"/>
        </w:rPr>
        <w:t>final decision</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A record</w:t>
      </w:r>
      <w:r>
        <w:rPr>
          <w:rFonts w:ascii="Arial" w:hAnsi="Arial" w:cs="Arial"/>
          <w:snapToGrid w:val="0"/>
          <w:color w:val="000000" w:themeColor="text1" w:themeShade="80"/>
          <w:sz w:val="20"/>
          <w:szCs w:val="20"/>
        </w:rPr>
        <w:t xml:space="preserve"> of all </w:t>
      </w:r>
      <w:r>
        <w:rPr>
          <w:rFonts w:ascii="Arial" w:hAnsi="Arial" w:cs="Arial"/>
          <w:snapToGrid w:val="0"/>
          <w:color w:val="000000" w:themeColor="text1" w:themeShade="80"/>
          <w:sz w:val="20"/>
          <w:szCs w:val="20"/>
        </w:rPr>
        <w:t>voting decisions</w:t>
      </w:r>
      <w:r>
        <w:rPr>
          <w:rFonts w:ascii="Arial" w:hAnsi="Arial" w:cs="Arial"/>
          <w:snapToGrid w:val="0"/>
          <w:color w:val="000000" w:themeColor="text1" w:themeShade="80"/>
          <w:sz w:val="20"/>
          <w:szCs w:val="20"/>
        </w:rPr>
        <w:t xml:space="preserve"> by LPPI</w:t>
      </w:r>
      <w:r>
        <w:rPr>
          <w:rFonts w:ascii="Arial" w:hAnsi="Arial" w:cs="Arial"/>
          <w:snapToGrid w:val="0"/>
          <w:color w:val="000000" w:themeColor="text1" w:themeShade="80"/>
          <w:sz w:val="20"/>
          <w:szCs w:val="20"/>
        </w:rPr>
        <w:t xml:space="preserve"> is made publicly available via quarterly voting reports published on the LPP website. </w:t>
      </w:r>
    </w:p>
    <w:p w:rsidR="002B35CD" w:rsidRPr="001849E1" w:rsidP="00846783">
      <w:pPr>
        <w:spacing w:after="0"/>
        <w:jc w:val="both"/>
        <w:rPr>
          <w:rFonts w:ascii="Arial" w:hAnsi="Arial" w:cs="Arial"/>
          <w:snapToGrid w:val="0"/>
          <w:color w:val="000000" w:themeColor="text1" w:themeShade="80"/>
          <w:sz w:val="20"/>
          <w:szCs w:val="20"/>
        </w:rPr>
      </w:pPr>
    </w:p>
    <w:p w:rsidR="00846783" w:rsidRPr="00D971DE" w:rsidP="00846783">
      <w:pPr>
        <w:spacing w:after="0"/>
        <w:rPr>
          <w:rFonts w:ascii="Arial" w:hAnsi="Arial" w:cs="Arial"/>
          <w:b/>
          <w:bCs/>
          <w:snapToGrid w:val="0"/>
          <w:sz w:val="20"/>
          <w:szCs w:val="20"/>
        </w:rPr>
      </w:pPr>
      <w:r w:rsidRPr="00D971DE">
        <w:rPr>
          <w:rFonts w:ascii="Arial" w:hAnsi="Arial" w:cs="Arial"/>
          <w:b/>
          <w:bCs/>
          <w:snapToGrid w:val="0"/>
          <w:sz w:val="20"/>
          <w:szCs w:val="20"/>
        </w:rPr>
        <w:t>PLSA</w:t>
      </w:r>
    </w:p>
    <w:p w:rsidR="00846783" w:rsidRPr="00E67886" w:rsidP="00846783">
      <w:pPr>
        <w:shd w:val="clear" w:color="auto" w:fill="FFFFFF"/>
        <w:spacing w:after="0" w:line="240" w:lineRule="auto"/>
        <w:rPr>
          <w:rFonts w:ascii="Arial" w:eastAsia="Times New Roman" w:hAnsi="Arial" w:cs="Arial"/>
          <w:color w:val="444444"/>
          <w:lang w:eastAsia="en-GB"/>
        </w:rPr>
      </w:pPr>
    </w:p>
    <w:p w:rsidR="008A284E" w:rsidP="00971769">
      <w:pPr>
        <w:contextualSpacing/>
        <w:rPr>
          <w:rFonts w:ascii="Arial" w:hAnsi="Arial" w:cs="Arial"/>
          <w:sz w:val="20"/>
          <w:szCs w:val="20"/>
        </w:rPr>
      </w:pPr>
      <w:r w:rsidRPr="00971769">
        <w:rPr>
          <w:rFonts w:ascii="Arial" w:hAnsi="Arial" w:cs="Arial"/>
          <w:sz w:val="20"/>
          <w:szCs w:val="20"/>
        </w:rPr>
        <w:t>The Head of RI</w:t>
      </w:r>
      <w:r>
        <w:rPr>
          <w:rFonts w:ascii="Arial" w:hAnsi="Arial" w:cs="Arial"/>
          <w:sz w:val="20"/>
          <w:szCs w:val="20"/>
        </w:rPr>
        <w:t xml:space="preserve"> is a member of the P</w:t>
      </w:r>
      <w:r>
        <w:rPr>
          <w:rFonts w:ascii="Arial" w:hAnsi="Arial" w:cs="Arial"/>
          <w:sz w:val="20"/>
          <w:szCs w:val="20"/>
        </w:rPr>
        <w:t xml:space="preserve">ensions and </w:t>
      </w:r>
      <w:r>
        <w:rPr>
          <w:rFonts w:ascii="Arial" w:hAnsi="Arial" w:cs="Arial"/>
          <w:sz w:val="20"/>
          <w:szCs w:val="20"/>
        </w:rPr>
        <w:t>L</w:t>
      </w:r>
      <w:r>
        <w:rPr>
          <w:rFonts w:ascii="Arial" w:hAnsi="Arial" w:cs="Arial"/>
          <w:sz w:val="20"/>
          <w:szCs w:val="20"/>
        </w:rPr>
        <w:t>ife</w:t>
      </w:r>
      <w:r>
        <w:rPr>
          <w:rFonts w:ascii="Arial" w:hAnsi="Arial" w:cs="Arial"/>
          <w:sz w:val="20"/>
          <w:szCs w:val="20"/>
        </w:rPr>
        <w:t>time</w:t>
      </w:r>
      <w:r>
        <w:rPr>
          <w:rFonts w:ascii="Arial" w:hAnsi="Arial" w:cs="Arial"/>
          <w:sz w:val="20"/>
          <w:szCs w:val="20"/>
        </w:rPr>
        <w:t xml:space="preserve"> </w:t>
      </w:r>
      <w:r>
        <w:rPr>
          <w:rFonts w:ascii="Arial" w:hAnsi="Arial" w:cs="Arial"/>
          <w:sz w:val="20"/>
          <w:szCs w:val="20"/>
        </w:rPr>
        <w:t>S</w:t>
      </w:r>
      <w:r>
        <w:rPr>
          <w:rFonts w:ascii="Arial" w:hAnsi="Arial" w:cs="Arial"/>
          <w:sz w:val="20"/>
          <w:szCs w:val="20"/>
        </w:rPr>
        <w:t xml:space="preserve">avings </w:t>
      </w:r>
      <w:r>
        <w:rPr>
          <w:rFonts w:ascii="Arial" w:hAnsi="Arial" w:cs="Arial"/>
          <w:sz w:val="20"/>
          <w:szCs w:val="20"/>
        </w:rPr>
        <w:t>A</w:t>
      </w:r>
      <w:r>
        <w:rPr>
          <w:rFonts w:ascii="Arial" w:hAnsi="Arial" w:cs="Arial"/>
          <w:sz w:val="20"/>
          <w:szCs w:val="20"/>
        </w:rPr>
        <w:t>ssociation</w:t>
      </w:r>
      <w:r>
        <w:rPr>
          <w:rFonts w:ascii="Arial" w:hAnsi="Arial" w:cs="Arial"/>
          <w:sz w:val="20"/>
          <w:szCs w:val="20"/>
        </w:rPr>
        <w:t>’s Defined Benefit Scheme Stewardship Advisory Group (SAG)</w:t>
      </w:r>
      <w:r>
        <w:rPr>
          <w:rFonts w:ascii="Arial" w:hAnsi="Arial" w:cs="Arial"/>
          <w:sz w:val="20"/>
          <w:szCs w:val="20"/>
        </w:rPr>
        <w:t xml:space="preserve">. This group </w:t>
      </w:r>
      <w:r>
        <w:rPr>
          <w:rFonts w:ascii="Arial" w:hAnsi="Arial" w:cs="Arial"/>
          <w:sz w:val="20"/>
          <w:szCs w:val="20"/>
        </w:rPr>
        <w:t xml:space="preserve">meets quarterly to discuss developing issues </w:t>
      </w:r>
      <w:r>
        <w:rPr>
          <w:rFonts w:ascii="Arial" w:hAnsi="Arial" w:cs="Arial"/>
          <w:sz w:val="20"/>
          <w:szCs w:val="20"/>
        </w:rPr>
        <w:t>and is</w:t>
      </w:r>
      <w:r>
        <w:rPr>
          <w:rFonts w:ascii="Arial" w:hAnsi="Arial" w:cs="Arial"/>
          <w:sz w:val="20"/>
          <w:szCs w:val="20"/>
        </w:rPr>
        <w:t xml:space="preserve"> a sounding board for the Association</w:t>
      </w:r>
      <w:r>
        <w:rPr>
          <w:rFonts w:ascii="Arial" w:hAnsi="Arial" w:cs="Arial"/>
          <w:sz w:val="20"/>
          <w:szCs w:val="20"/>
        </w:rPr>
        <w:t>’</w:t>
      </w:r>
      <w:r>
        <w:rPr>
          <w:rFonts w:ascii="Arial" w:hAnsi="Arial" w:cs="Arial"/>
          <w:sz w:val="20"/>
          <w:szCs w:val="20"/>
        </w:rPr>
        <w:t xml:space="preserve">s </w:t>
      </w:r>
      <w:r>
        <w:rPr>
          <w:rFonts w:ascii="Arial" w:hAnsi="Arial" w:cs="Arial"/>
          <w:sz w:val="20"/>
          <w:szCs w:val="20"/>
        </w:rPr>
        <w:t xml:space="preserve">programme of </w:t>
      </w:r>
      <w:r>
        <w:rPr>
          <w:rFonts w:ascii="Arial" w:hAnsi="Arial" w:cs="Arial"/>
          <w:sz w:val="20"/>
          <w:szCs w:val="20"/>
        </w:rPr>
        <w:t>work on stewardship</w:t>
      </w:r>
      <w:r>
        <w:rPr>
          <w:rFonts w:ascii="Arial" w:hAnsi="Arial" w:cs="Arial"/>
          <w:sz w:val="20"/>
          <w:szCs w:val="20"/>
        </w:rPr>
        <w:t>.</w:t>
      </w:r>
      <w:r>
        <w:rPr>
          <w:rFonts w:ascii="Arial" w:hAnsi="Arial" w:cs="Arial"/>
          <w:sz w:val="20"/>
          <w:szCs w:val="20"/>
        </w:rPr>
        <w:t xml:space="preserve">  </w:t>
      </w:r>
    </w:p>
    <w:p w:rsidR="008A284E" w:rsidP="00971769">
      <w:pPr>
        <w:contextualSpacing/>
        <w:rPr>
          <w:rFonts w:ascii="Arial" w:hAnsi="Arial" w:cs="Arial"/>
          <w:sz w:val="20"/>
          <w:szCs w:val="20"/>
        </w:rPr>
      </w:pPr>
    </w:p>
    <w:p w:rsidR="008A284E" w:rsidRPr="008A284E" w:rsidP="008A284E">
      <w:pPr>
        <w:spacing w:after="0"/>
        <w:rPr>
          <w:rFonts w:ascii="Arial" w:eastAsia="Calibri" w:hAnsi="Arial" w:cs="Arial"/>
          <w:sz w:val="20"/>
          <w:szCs w:val="24"/>
        </w:rPr>
      </w:pPr>
      <w:r w:rsidRPr="008A284E">
        <w:rPr>
          <w:rFonts w:ascii="Arial" w:eastAsia="Calibri" w:hAnsi="Arial" w:cs="Arial"/>
          <w:sz w:val="20"/>
          <w:szCs w:val="24"/>
        </w:rPr>
        <w:t>SA</w:t>
      </w:r>
      <w:r>
        <w:rPr>
          <w:rFonts w:ascii="Arial" w:eastAsia="Calibri" w:hAnsi="Arial" w:cs="Arial"/>
          <w:sz w:val="20"/>
          <w:szCs w:val="24"/>
        </w:rPr>
        <w:t>G</w:t>
      </w:r>
      <w:r w:rsidRPr="008A284E">
        <w:rPr>
          <w:rFonts w:ascii="Arial" w:eastAsia="Calibri" w:hAnsi="Arial" w:cs="Arial"/>
          <w:sz w:val="20"/>
          <w:szCs w:val="24"/>
        </w:rPr>
        <w:t xml:space="preserve"> members have been approached to join a working group which will shape the 2020 version of PLSA’s annual </w:t>
      </w:r>
      <w:r>
        <w:fldChar w:fldCharType="begin"/>
      </w:r>
      <w:r>
        <w:instrText xml:space="preserve"> HYPERLINK "https://protect-eu.mimecast.com/s/xIwWC4xVWu3W0Kix_9VY?domain=plsa.co.uk" </w:instrText>
      </w:r>
      <w:r>
        <w:fldChar w:fldCharType="separate"/>
      </w:r>
      <w:r w:rsidRPr="008A284E">
        <w:rPr>
          <w:rFonts w:ascii="Arial" w:eastAsia="Calibri" w:hAnsi="Arial" w:cs="Arial"/>
          <w:color w:val="0563C1" w:themeColor="hyperlink"/>
          <w:sz w:val="20"/>
          <w:szCs w:val="24"/>
          <w:u w:val="single"/>
        </w:rPr>
        <w:t>Corporate Governance Policy and Voting Guidelines</w:t>
      </w:r>
      <w:r>
        <w:fldChar w:fldCharType="end"/>
      </w:r>
      <w:r w:rsidRPr="008A284E">
        <w:rPr>
          <w:rFonts w:ascii="Arial" w:eastAsia="Calibri" w:hAnsi="Arial" w:cs="Arial"/>
          <w:sz w:val="20"/>
          <w:szCs w:val="24"/>
        </w:rPr>
        <w:t>. This guidan</w:t>
      </w:r>
      <w:r w:rsidRPr="008A284E">
        <w:rPr>
          <w:rFonts w:ascii="Arial" w:eastAsia="Calibri" w:hAnsi="Arial" w:cs="Arial"/>
          <w:sz w:val="20"/>
          <w:szCs w:val="24"/>
        </w:rPr>
        <w:t xml:space="preserve">ce is published every January and provides practical guidance for schemes considering how to exercise their rights at AGMs in the next season. The guide is one of the PLSA’s most popular stewardship downloads.  </w:t>
      </w:r>
    </w:p>
    <w:p w:rsidR="008A284E" w:rsidRPr="008A284E" w:rsidP="008A284E">
      <w:pPr>
        <w:spacing w:after="0"/>
        <w:rPr>
          <w:rFonts w:ascii="Arial" w:eastAsia="Calibri" w:hAnsi="Arial" w:cs="Arial"/>
          <w:sz w:val="20"/>
          <w:szCs w:val="24"/>
        </w:rPr>
      </w:pPr>
    </w:p>
    <w:p w:rsidR="008A284E" w:rsidRPr="008A284E" w:rsidP="008A284E">
      <w:pPr>
        <w:spacing w:after="0"/>
        <w:rPr>
          <w:rFonts w:ascii="Arial" w:eastAsia="Calibri" w:hAnsi="Arial" w:cs="Arial"/>
          <w:sz w:val="20"/>
          <w:szCs w:val="24"/>
        </w:rPr>
      </w:pPr>
      <w:r w:rsidRPr="008A284E">
        <w:rPr>
          <w:rFonts w:ascii="Arial" w:eastAsia="Calibri" w:hAnsi="Arial" w:cs="Arial"/>
          <w:sz w:val="20"/>
          <w:szCs w:val="24"/>
        </w:rPr>
        <w:t>In January 2019 the guidelines were updated</w:t>
      </w:r>
      <w:r w:rsidRPr="008A284E">
        <w:rPr>
          <w:rFonts w:ascii="Arial" w:eastAsia="Calibri" w:hAnsi="Arial" w:cs="Arial"/>
          <w:sz w:val="20"/>
          <w:szCs w:val="24"/>
        </w:rPr>
        <w:t xml:space="preserve"> to </w:t>
      </w:r>
      <w:r>
        <w:rPr>
          <w:rFonts w:ascii="Arial" w:eastAsia="Calibri" w:hAnsi="Arial" w:cs="Arial"/>
          <w:sz w:val="20"/>
          <w:szCs w:val="24"/>
        </w:rPr>
        <w:t>cover</w:t>
      </w:r>
      <w:r w:rsidRPr="008A284E">
        <w:rPr>
          <w:rFonts w:ascii="Arial" w:eastAsia="Calibri" w:hAnsi="Arial" w:cs="Arial"/>
          <w:sz w:val="20"/>
          <w:szCs w:val="24"/>
        </w:rPr>
        <w:t xml:space="preserve"> changes to the UK Corporate Governance Code and highlight some of the key developments in UK corporate governance policy and practice.  For 2020 the intention is a </w:t>
      </w:r>
      <w:r>
        <w:rPr>
          <w:rFonts w:ascii="Arial" w:eastAsia="Calibri" w:hAnsi="Arial" w:cs="Arial"/>
          <w:sz w:val="20"/>
          <w:szCs w:val="24"/>
        </w:rPr>
        <w:t>further</w:t>
      </w:r>
      <w:r w:rsidRPr="008A284E">
        <w:rPr>
          <w:rFonts w:ascii="Arial" w:eastAsia="Calibri" w:hAnsi="Arial" w:cs="Arial"/>
          <w:sz w:val="20"/>
          <w:szCs w:val="24"/>
        </w:rPr>
        <w:t xml:space="preserve"> thorough review. The update is in the context of renewed regulatory requir</w:t>
      </w:r>
      <w:r w:rsidRPr="008A284E">
        <w:rPr>
          <w:rFonts w:ascii="Arial" w:eastAsia="Calibri" w:hAnsi="Arial" w:cs="Arial"/>
          <w:sz w:val="20"/>
          <w:szCs w:val="24"/>
        </w:rPr>
        <w:t>ements and an increasing scrutiny of how pension schemes are fulfilling the responsibilities of asset ownership through stewardship actions.</w:t>
      </w:r>
    </w:p>
    <w:p w:rsidR="008A284E" w:rsidRPr="008A284E" w:rsidP="008A284E">
      <w:pPr>
        <w:spacing w:after="0"/>
        <w:rPr>
          <w:rFonts w:ascii="Arial" w:eastAsia="Calibri" w:hAnsi="Arial" w:cs="Arial"/>
          <w:sz w:val="20"/>
          <w:szCs w:val="24"/>
        </w:rPr>
      </w:pPr>
    </w:p>
    <w:p w:rsidR="00486AA1" w:rsidP="008A284E">
      <w:pPr>
        <w:spacing w:after="0"/>
        <w:rPr>
          <w:rFonts w:ascii="Arial" w:hAnsi="Arial" w:cs="Arial"/>
          <w:sz w:val="20"/>
          <w:szCs w:val="20"/>
        </w:rPr>
      </w:pPr>
      <w:r w:rsidRPr="008A284E">
        <w:rPr>
          <w:rFonts w:ascii="Arial" w:eastAsia="Calibri" w:hAnsi="Arial" w:cs="Arial"/>
          <w:sz w:val="20"/>
          <w:szCs w:val="24"/>
        </w:rPr>
        <w:t xml:space="preserve">The Head of RI has agreed to participate </w:t>
      </w:r>
      <w:r>
        <w:rPr>
          <w:rFonts w:ascii="Arial" w:eastAsia="Calibri" w:hAnsi="Arial" w:cs="Arial"/>
          <w:sz w:val="20"/>
          <w:szCs w:val="24"/>
        </w:rPr>
        <w:t>as a member of the</w:t>
      </w:r>
      <w:r w:rsidRPr="008A284E">
        <w:rPr>
          <w:rFonts w:ascii="Arial" w:eastAsia="Calibri" w:hAnsi="Arial" w:cs="Arial"/>
          <w:sz w:val="20"/>
          <w:szCs w:val="24"/>
        </w:rPr>
        <w:t xml:space="preserve"> Working Group</w:t>
      </w:r>
      <w:r>
        <w:rPr>
          <w:rFonts w:ascii="Arial" w:eastAsia="Calibri" w:hAnsi="Arial" w:cs="Arial"/>
          <w:sz w:val="20"/>
          <w:szCs w:val="24"/>
        </w:rPr>
        <w:t xml:space="preserve"> (</w:t>
      </w:r>
      <w:r>
        <w:rPr>
          <w:rFonts w:ascii="Arial" w:hAnsi="Arial" w:cs="Arial"/>
          <w:sz w:val="20"/>
          <w:szCs w:val="20"/>
        </w:rPr>
        <w:t xml:space="preserve">which had its first meeting in central </w:t>
      </w:r>
      <w:r>
        <w:rPr>
          <w:rFonts w:ascii="Arial" w:hAnsi="Arial" w:cs="Arial"/>
          <w:sz w:val="20"/>
          <w:szCs w:val="20"/>
        </w:rPr>
        <w:t>London in early November</w:t>
      </w:r>
      <w:r>
        <w:rPr>
          <w:rFonts w:ascii="Arial" w:hAnsi="Arial" w:cs="Arial"/>
          <w:sz w:val="20"/>
          <w:szCs w:val="20"/>
        </w:rPr>
        <w:t>)</w:t>
      </w:r>
      <w:r>
        <w:rPr>
          <w:rFonts w:ascii="Arial" w:hAnsi="Arial" w:cs="Arial"/>
          <w:sz w:val="20"/>
          <w:szCs w:val="20"/>
        </w:rPr>
        <w:t>. The outcome of the review will be a revised guide, details of which will be shared with the committee in due course.</w:t>
      </w:r>
    </w:p>
    <w:p w:rsidR="00486AA1" w:rsidP="00971769">
      <w:pPr>
        <w:contextualSpacing/>
        <w:rPr>
          <w:rFonts w:ascii="Arial" w:hAnsi="Arial" w:cs="Arial"/>
          <w:sz w:val="20"/>
          <w:szCs w:val="20"/>
        </w:rPr>
      </w:pPr>
    </w:p>
    <w:p w:rsidR="002B35CD" w:rsidP="002B35CD">
      <w:pPr>
        <w:contextualSpacing/>
        <w:rPr>
          <w:rFonts w:ascii="Arial" w:hAnsi="Arial" w:cs="Arial"/>
          <w:b/>
          <w:bCs/>
          <w:sz w:val="20"/>
          <w:szCs w:val="20"/>
        </w:rPr>
      </w:pPr>
      <w:r>
        <w:rPr>
          <w:rFonts w:ascii="Arial" w:hAnsi="Arial" w:cs="Arial"/>
          <w:b/>
          <w:bCs/>
          <w:sz w:val="20"/>
          <w:szCs w:val="20"/>
        </w:rPr>
        <w:t>Transition Pathway Initiative</w:t>
      </w:r>
    </w:p>
    <w:p w:rsidR="00CE34DC" w:rsidP="002B35CD">
      <w:pPr>
        <w:contextualSpacing/>
        <w:rPr>
          <w:rFonts w:ascii="Arial" w:eastAsia="Times New Roman" w:hAnsi="Arial" w:cs="Arial"/>
          <w:spacing w:val="-6"/>
          <w:sz w:val="20"/>
          <w:szCs w:val="20"/>
          <w:lang w:eastAsia="zh-CN"/>
        </w:rPr>
      </w:pPr>
    </w:p>
    <w:p w:rsidR="002B35CD" w:rsidP="002B35CD">
      <w:pPr>
        <w:contextualSpacing/>
        <w:rPr>
          <w:rFonts w:ascii="Arial" w:eastAsia="Times New Roman" w:hAnsi="Arial" w:cs="Arial"/>
          <w:spacing w:val="-6"/>
          <w:sz w:val="20"/>
          <w:szCs w:val="20"/>
          <w:lang w:eastAsia="zh-CN"/>
        </w:rPr>
      </w:pPr>
      <w:r>
        <w:rPr>
          <w:rFonts w:ascii="Arial" w:eastAsia="Times New Roman" w:hAnsi="Arial" w:cs="Arial"/>
          <w:spacing w:val="-6"/>
          <w:sz w:val="20"/>
          <w:szCs w:val="20"/>
          <w:lang w:eastAsia="zh-CN"/>
        </w:rPr>
        <w:t xml:space="preserve">LPP has agreed to become a </w:t>
      </w:r>
      <w:r w:rsidRPr="002B35CD">
        <w:rPr>
          <w:rFonts w:ascii="Arial" w:eastAsia="Times New Roman" w:hAnsi="Arial" w:cs="Arial"/>
          <w:spacing w:val="-6"/>
          <w:sz w:val="20"/>
          <w:szCs w:val="20"/>
          <w:lang w:eastAsia="zh-CN"/>
        </w:rPr>
        <w:t>Strategic Asset Owner Partner</w:t>
      </w:r>
      <w:r>
        <w:rPr>
          <w:rFonts w:ascii="Arial" w:eastAsia="Times New Roman" w:hAnsi="Arial" w:cs="Arial"/>
          <w:spacing w:val="-6"/>
          <w:sz w:val="20"/>
          <w:szCs w:val="20"/>
          <w:lang w:eastAsia="zh-CN"/>
        </w:rPr>
        <w:t xml:space="preserve"> to the TPI.</w:t>
      </w:r>
    </w:p>
    <w:p w:rsidR="002B35CD" w:rsidRPr="002B35CD" w:rsidP="002B35CD">
      <w:pPr>
        <w:contextualSpacing/>
        <w:rPr>
          <w:rFonts w:ascii="Arial" w:hAnsi="Arial" w:cs="Arial"/>
          <w:b/>
          <w:bCs/>
          <w:sz w:val="20"/>
          <w:szCs w:val="20"/>
        </w:rPr>
      </w:pPr>
    </w:p>
    <w:p w:rsidR="002B35CD" w:rsidRPr="002B35CD" w:rsidP="002B35CD">
      <w:pPr>
        <w:tabs>
          <w:tab w:val="left" w:pos="1843"/>
          <w:tab w:val="left" w:pos="3119"/>
          <w:tab w:val="left" w:pos="4253"/>
        </w:tabs>
        <w:spacing w:after="0" w:line="280" w:lineRule="exact"/>
        <w:jc w:val="both"/>
        <w:rPr>
          <w:rFonts w:ascii="Arial" w:eastAsia="Times New Roman" w:hAnsi="Arial" w:cs="Arial"/>
          <w:bCs/>
          <w:spacing w:val="-6"/>
          <w:sz w:val="20"/>
          <w:szCs w:val="18"/>
          <w:lang w:eastAsia="zh-CN"/>
        </w:rPr>
      </w:pPr>
      <w:r>
        <w:rPr>
          <w:rFonts w:ascii="Arial" w:eastAsia="Times New Roman" w:hAnsi="Arial" w:cs="Arial"/>
          <w:bCs/>
          <w:spacing w:val="-6"/>
          <w:sz w:val="20"/>
          <w:szCs w:val="18"/>
          <w:lang w:eastAsia="zh-CN"/>
        </w:rPr>
        <w:t xml:space="preserve">This followed an approach </w:t>
      </w:r>
      <w:r>
        <w:rPr>
          <w:rFonts w:ascii="Arial" w:eastAsia="Times New Roman" w:hAnsi="Arial" w:cs="Arial"/>
          <w:bCs/>
          <w:spacing w:val="-6"/>
          <w:sz w:val="20"/>
          <w:szCs w:val="18"/>
          <w:lang w:eastAsia="zh-CN"/>
        </w:rPr>
        <w:t>proposing</w:t>
      </w:r>
      <w:r w:rsidRPr="002B35CD">
        <w:rPr>
          <w:rFonts w:ascii="Arial" w:eastAsia="Times New Roman" w:hAnsi="Arial" w:cs="Arial"/>
          <w:bCs/>
          <w:spacing w:val="-6"/>
          <w:sz w:val="20"/>
          <w:szCs w:val="18"/>
          <w:lang w:eastAsia="zh-CN"/>
        </w:rPr>
        <w:t xml:space="preserve"> a more formal step in our continuing support for the initiative</w:t>
      </w:r>
      <w:r>
        <w:rPr>
          <w:rFonts w:ascii="Arial" w:eastAsia="Times New Roman" w:hAnsi="Arial" w:cs="Arial"/>
          <w:bCs/>
          <w:spacing w:val="-6"/>
          <w:sz w:val="20"/>
          <w:szCs w:val="18"/>
          <w:lang w:eastAsia="zh-CN"/>
        </w:rPr>
        <w:t xml:space="preserve">. </w:t>
      </w:r>
      <w:r w:rsidRPr="002B35CD">
        <w:rPr>
          <w:rFonts w:ascii="Arial" w:eastAsia="Times New Roman" w:hAnsi="Arial" w:cs="Arial"/>
          <w:bCs/>
          <w:spacing w:val="-6"/>
          <w:sz w:val="20"/>
          <w:szCs w:val="18"/>
          <w:lang w:eastAsia="zh-CN"/>
        </w:rPr>
        <w:t xml:space="preserve"> </w:t>
      </w:r>
      <w:r>
        <w:rPr>
          <w:rFonts w:ascii="Arial" w:eastAsia="Times New Roman" w:hAnsi="Arial" w:cs="Arial"/>
          <w:bCs/>
          <w:spacing w:val="-6"/>
          <w:sz w:val="20"/>
          <w:szCs w:val="18"/>
          <w:lang w:eastAsia="zh-CN"/>
        </w:rPr>
        <w:t>B</w:t>
      </w:r>
      <w:r w:rsidRPr="002B35CD">
        <w:rPr>
          <w:rFonts w:ascii="Arial" w:eastAsia="Times New Roman" w:hAnsi="Arial" w:cs="Arial"/>
          <w:bCs/>
          <w:spacing w:val="-6"/>
          <w:sz w:val="20"/>
          <w:szCs w:val="18"/>
          <w:lang w:eastAsia="zh-CN"/>
        </w:rPr>
        <w:t xml:space="preserve">ecoming a strategic partner </w:t>
      </w:r>
      <w:r>
        <w:rPr>
          <w:rFonts w:ascii="Arial" w:eastAsia="Times New Roman" w:hAnsi="Arial" w:cs="Arial"/>
          <w:bCs/>
          <w:spacing w:val="-6"/>
          <w:sz w:val="20"/>
          <w:szCs w:val="18"/>
          <w:lang w:eastAsia="zh-CN"/>
        </w:rPr>
        <w:t xml:space="preserve">entails </w:t>
      </w:r>
      <w:r w:rsidRPr="002B35CD">
        <w:rPr>
          <w:rFonts w:ascii="Arial" w:eastAsia="Times New Roman" w:hAnsi="Arial" w:cs="Arial"/>
          <w:bCs/>
          <w:spacing w:val="-6"/>
          <w:sz w:val="20"/>
          <w:szCs w:val="18"/>
          <w:lang w:eastAsia="zh-CN"/>
        </w:rPr>
        <w:t>providing funding support</w:t>
      </w:r>
      <w:r>
        <w:rPr>
          <w:rFonts w:ascii="Arial" w:eastAsia="Times New Roman" w:hAnsi="Arial" w:cs="Arial"/>
          <w:bCs/>
          <w:spacing w:val="-6"/>
          <w:sz w:val="20"/>
          <w:szCs w:val="18"/>
          <w:lang w:eastAsia="zh-CN"/>
        </w:rPr>
        <w:t xml:space="preserve"> and being represented on the TPI Steering Committee</w:t>
      </w:r>
      <w:r w:rsidRPr="002B35CD">
        <w:rPr>
          <w:rFonts w:ascii="Arial" w:eastAsia="Times New Roman" w:hAnsi="Arial" w:cs="Arial"/>
          <w:bCs/>
          <w:spacing w:val="-6"/>
          <w:sz w:val="20"/>
          <w:szCs w:val="18"/>
          <w:lang w:eastAsia="zh-CN"/>
        </w:rPr>
        <w:t xml:space="preserve">.  </w:t>
      </w:r>
      <w:r>
        <w:rPr>
          <w:rFonts w:ascii="Arial" w:eastAsia="Times New Roman" w:hAnsi="Arial" w:cs="Arial"/>
          <w:bCs/>
          <w:spacing w:val="-6"/>
          <w:sz w:val="20"/>
          <w:szCs w:val="18"/>
          <w:lang w:eastAsia="zh-CN"/>
        </w:rPr>
        <w:t>Members of LPP’s Stewardship Committe</w:t>
      </w:r>
      <w:r>
        <w:rPr>
          <w:rFonts w:ascii="Arial" w:eastAsia="Times New Roman" w:hAnsi="Arial" w:cs="Arial"/>
          <w:bCs/>
          <w:spacing w:val="-6"/>
          <w:sz w:val="20"/>
          <w:szCs w:val="18"/>
          <w:lang w:eastAsia="zh-CN"/>
        </w:rPr>
        <w:t xml:space="preserve">e </w:t>
      </w:r>
      <w:r w:rsidRPr="002B35CD">
        <w:rPr>
          <w:rFonts w:ascii="Arial" w:eastAsia="Times New Roman" w:hAnsi="Arial" w:cs="Arial"/>
          <w:bCs/>
          <w:spacing w:val="-6"/>
          <w:sz w:val="20"/>
          <w:szCs w:val="18"/>
          <w:lang w:eastAsia="zh-CN"/>
        </w:rPr>
        <w:t>met with TPI representatives in September to discuss the proposal, provide feedback on our experience/impressions of the</w:t>
      </w:r>
      <w:r>
        <w:rPr>
          <w:rFonts w:ascii="Arial" w:eastAsia="Times New Roman" w:hAnsi="Arial" w:cs="Arial"/>
          <w:bCs/>
          <w:spacing w:val="-6"/>
          <w:sz w:val="20"/>
          <w:szCs w:val="18"/>
          <w:lang w:eastAsia="zh-CN"/>
        </w:rPr>
        <w:t xml:space="preserve"> current</w:t>
      </w:r>
      <w:r w:rsidRPr="002B35CD">
        <w:rPr>
          <w:rFonts w:ascii="Arial" w:eastAsia="Times New Roman" w:hAnsi="Arial" w:cs="Arial"/>
          <w:bCs/>
          <w:spacing w:val="-6"/>
          <w:sz w:val="20"/>
          <w:szCs w:val="18"/>
          <w:lang w:eastAsia="zh-CN"/>
        </w:rPr>
        <w:t xml:space="preserve"> tools and share insights from manager feedback.</w:t>
      </w:r>
    </w:p>
    <w:p w:rsidR="00CE34DC" w:rsidP="002B35CD">
      <w:pPr>
        <w:tabs>
          <w:tab w:val="left" w:pos="1843"/>
          <w:tab w:val="left" w:pos="3119"/>
          <w:tab w:val="left" w:pos="4253"/>
        </w:tabs>
        <w:spacing w:after="0" w:line="280" w:lineRule="exact"/>
        <w:jc w:val="both"/>
        <w:rPr>
          <w:rFonts w:ascii="Arial" w:eastAsia="Times New Roman" w:hAnsi="Arial" w:cs="Arial"/>
          <w:bCs/>
          <w:spacing w:val="-6"/>
          <w:sz w:val="20"/>
          <w:szCs w:val="18"/>
          <w:lang w:eastAsia="zh-CN"/>
        </w:rPr>
      </w:pPr>
    </w:p>
    <w:p w:rsidR="002B35CD" w:rsidRPr="002B35CD" w:rsidP="002B35CD">
      <w:pPr>
        <w:tabs>
          <w:tab w:val="left" w:pos="1843"/>
          <w:tab w:val="left" w:pos="3119"/>
          <w:tab w:val="left" w:pos="4253"/>
        </w:tabs>
        <w:spacing w:after="0" w:line="280" w:lineRule="exact"/>
        <w:jc w:val="both"/>
        <w:rPr>
          <w:rFonts w:ascii="Arial" w:eastAsia="Times New Roman" w:hAnsi="Arial" w:cs="Arial"/>
          <w:bCs/>
          <w:spacing w:val="-6"/>
          <w:sz w:val="20"/>
          <w:szCs w:val="18"/>
          <w:lang w:eastAsia="zh-CN"/>
        </w:rPr>
      </w:pPr>
      <w:r w:rsidRPr="002B35CD">
        <w:rPr>
          <w:rFonts w:ascii="Arial" w:eastAsia="Times New Roman" w:hAnsi="Arial" w:cs="Arial"/>
          <w:bCs/>
          <w:spacing w:val="-6"/>
          <w:sz w:val="20"/>
          <w:szCs w:val="18"/>
          <w:lang w:eastAsia="zh-CN"/>
        </w:rPr>
        <w:t xml:space="preserve">Following the meeting it was agreed that LPP will provide financial support for 4 years (2020- 2024) and explore how we can add value through </w:t>
      </w:r>
      <w:r>
        <w:rPr>
          <w:rFonts w:ascii="Arial" w:eastAsia="Times New Roman" w:hAnsi="Arial" w:cs="Arial"/>
          <w:bCs/>
          <w:spacing w:val="-6"/>
          <w:sz w:val="20"/>
          <w:szCs w:val="18"/>
          <w:lang w:eastAsia="zh-CN"/>
        </w:rPr>
        <w:t>representation on</w:t>
      </w:r>
      <w:r w:rsidRPr="002B35CD">
        <w:rPr>
          <w:rFonts w:ascii="Arial" w:eastAsia="Times New Roman" w:hAnsi="Arial" w:cs="Arial"/>
          <w:bCs/>
          <w:spacing w:val="-6"/>
          <w:sz w:val="20"/>
          <w:szCs w:val="18"/>
          <w:lang w:eastAsia="zh-CN"/>
        </w:rPr>
        <w:t xml:space="preserve"> the TPI Steering Group </w:t>
      </w:r>
      <w:r>
        <w:rPr>
          <w:rFonts w:ascii="Arial" w:eastAsia="Times New Roman" w:hAnsi="Arial" w:cs="Arial"/>
          <w:bCs/>
          <w:spacing w:val="-6"/>
          <w:sz w:val="20"/>
          <w:szCs w:val="18"/>
          <w:lang w:eastAsia="zh-CN"/>
        </w:rPr>
        <w:t xml:space="preserve">and </w:t>
      </w:r>
      <w:r>
        <w:rPr>
          <w:rFonts w:ascii="Arial" w:eastAsia="Times New Roman" w:hAnsi="Arial" w:cs="Arial"/>
          <w:bCs/>
          <w:spacing w:val="-6"/>
          <w:sz w:val="20"/>
          <w:szCs w:val="18"/>
          <w:lang w:eastAsia="zh-CN"/>
        </w:rPr>
        <w:t xml:space="preserve">through </w:t>
      </w:r>
      <w:r w:rsidRPr="002B35CD">
        <w:rPr>
          <w:rFonts w:ascii="Arial" w:eastAsia="Times New Roman" w:hAnsi="Arial" w:cs="Arial"/>
          <w:bCs/>
          <w:spacing w:val="-6"/>
          <w:sz w:val="20"/>
          <w:szCs w:val="18"/>
          <w:lang w:eastAsia="zh-CN"/>
        </w:rPr>
        <w:t xml:space="preserve">constructive </w:t>
      </w:r>
      <w:r w:rsidRPr="002B35CD">
        <w:rPr>
          <w:rFonts w:ascii="Arial" w:eastAsia="Times New Roman" w:hAnsi="Arial" w:cs="Arial"/>
          <w:bCs/>
          <w:spacing w:val="-6"/>
          <w:sz w:val="20"/>
          <w:szCs w:val="18"/>
          <w:lang w:eastAsia="zh-CN"/>
        </w:rPr>
        <w:t xml:space="preserve">challenge/feedback </w:t>
      </w:r>
      <w:r>
        <w:rPr>
          <w:rFonts w:ascii="Arial" w:eastAsia="Times New Roman" w:hAnsi="Arial" w:cs="Arial"/>
          <w:bCs/>
          <w:spacing w:val="-6"/>
          <w:sz w:val="20"/>
          <w:szCs w:val="18"/>
          <w:lang w:eastAsia="zh-CN"/>
        </w:rPr>
        <w:t xml:space="preserve">which </w:t>
      </w:r>
      <w:r>
        <w:rPr>
          <w:rFonts w:ascii="Arial" w:eastAsia="Times New Roman" w:hAnsi="Arial" w:cs="Arial"/>
          <w:bCs/>
          <w:spacing w:val="-6"/>
          <w:sz w:val="20"/>
          <w:szCs w:val="18"/>
          <w:lang w:eastAsia="zh-CN"/>
        </w:rPr>
        <w:t>reflect</w:t>
      </w:r>
      <w:r>
        <w:rPr>
          <w:rFonts w:ascii="Arial" w:eastAsia="Times New Roman" w:hAnsi="Arial" w:cs="Arial"/>
          <w:bCs/>
          <w:spacing w:val="-6"/>
          <w:sz w:val="20"/>
          <w:szCs w:val="18"/>
          <w:lang w:eastAsia="zh-CN"/>
        </w:rPr>
        <w:t>s</w:t>
      </w:r>
      <w:r>
        <w:rPr>
          <w:rFonts w:ascii="Arial" w:eastAsia="Times New Roman" w:hAnsi="Arial" w:cs="Arial"/>
          <w:bCs/>
          <w:spacing w:val="-6"/>
          <w:sz w:val="20"/>
          <w:szCs w:val="18"/>
          <w:lang w:eastAsia="zh-CN"/>
        </w:rPr>
        <w:t xml:space="preserve"> our use of the</w:t>
      </w:r>
      <w:r>
        <w:rPr>
          <w:rFonts w:ascii="Arial" w:eastAsia="Times New Roman" w:hAnsi="Arial" w:cs="Arial"/>
          <w:bCs/>
          <w:spacing w:val="-6"/>
          <w:sz w:val="20"/>
          <w:szCs w:val="18"/>
          <w:lang w:eastAsia="zh-CN"/>
        </w:rPr>
        <w:t xml:space="preserve"> toolkit as part of portfolio and manager monitoring and engagement.</w:t>
      </w:r>
    </w:p>
    <w:p w:rsidR="00971769" w:rsidP="00846783">
      <w:pPr>
        <w:spacing w:after="0"/>
        <w:jc w:val="both"/>
        <w:rPr>
          <w:rFonts w:ascii="Verdana" w:hAnsi="Verdana" w:cs="Arial"/>
          <w:b/>
          <w:bCs/>
          <w:color w:val="44546A" w:themeColor="text2"/>
          <w:sz w:val="20"/>
          <w:szCs w:val="20"/>
        </w:rPr>
      </w:pPr>
    </w:p>
    <w:p w:rsidR="00846783" w:rsidRPr="007C5F2E" w:rsidP="00846783">
      <w:pPr>
        <w:pStyle w:val="ListParagraph"/>
        <w:numPr>
          <w:ilvl w:val="0"/>
          <w:numId w:val="2"/>
        </w:numPr>
        <w:autoSpaceDE w:val="0"/>
        <w:autoSpaceDN w:val="0"/>
        <w:adjustRightInd w:val="0"/>
        <w:spacing w:after="0"/>
        <w:ind w:hanging="720"/>
        <w:rPr>
          <w:rFonts w:ascii="Arial" w:hAnsi="Arial" w:cs="Arial"/>
          <w:b/>
          <w:bCs/>
          <w:color w:val="44546A" w:themeColor="text2"/>
          <w:sz w:val="20"/>
          <w:szCs w:val="20"/>
        </w:rPr>
      </w:pPr>
      <w:r w:rsidRPr="007C5F2E">
        <w:rPr>
          <w:rFonts w:ascii="Arial" w:hAnsi="Arial" w:cs="Arial"/>
          <w:b/>
          <w:bCs/>
          <w:color w:val="44546A" w:themeColor="text2"/>
          <w:sz w:val="20"/>
          <w:szCs w:val="20"/>
        </w:rPr>
        <w:t>Shareholder Litigation</w:t>
      </w:r>
    </w:p>
    <w:p w:rsidR="00846783" w:rsidRPr="004614CC" w:rsidP="00846783">
      <w:pPr>
        <w:spacing w:after="0"/>
        <w:jc w:val="both"/>
        <w:rPr>
          <w:rFonts w:ascii="Arial" w:hAnsi="Arial" w:cs="Arial"/>
          <w:b/>
          <w:bCs/>
          <w:color w:val="44546A" w:themeColor="text2"/>
          <w:sz w:val="20"/>
          <w:szCs w:val="20"/>
        </w:rPr>
      </w:pPr>
    </w:p>
    <w:p w:rsidR="00846783" w:rsidRPr="004614CC" w:rsidP="00846783">
      <w:pPr>
        <w:spacing w:after="0"/>
        <w:rPr>
          <w:rFonts w:ascii="Arial" w:hAnsi="Arial" w:cs="Arial"/>
          <w:snapToGrid w:val="0"/>
          <w:color w:val="000000" w:themeColor="text1" w:themeShade="80"/>
          <w:sz w:val="20"/>
          <w:szCs w:val="20"/>
        </w:rPr>
      </w:pPr>
      <w:r w:rsidRPr="004614CC">
        <w:rPr>
          <w:rFonts w:ascii="Arial" w:hAnsi="Arial" w:cs="Arial"/>
          <w:snapToGrid w:val="0"/>
          <w:color w:val="000000" w:themeColor="text1" w:themeShade="80"/>
          <w:sz w:val="20"/>
          <w:szCs w:val="20"/>
        </w:rPr>
        <w:t>LPPI employ</w:t>
      </w:r>
      <w:r>
        <w:rPr>
          <w:rFonts w:ascii="Arial" w:hAnsi="Arial" w:cs="Arial"/>
          <w:snapToGrid w:val="0"/>
          <w:color w:val="000000" w:themeColor="text1" w:themeShade="80"/>
          <w:sz w:val="20"/>
          <w:szCs w:val="20"/>
        </w:rPr>
        <w:t>s</w:t>
      </w:r>
      <w:r w:rsidRPr="004614CC">
        <w:rPr>
          <w:rFonts w:ascii="Arial" w:hAnsi="Arial" w:cs="Arial"/>
          <w:snapToGrid w:val="0"/>
          <w:color w:val="000000" w:themeColor="text1" w:themeShade="80"/>
          <w:sz w:val="20"/>
          <w:szCs w:val="20"/>
        </w:rPr>
        <w:t xml:space="preserve"> Institutional Protection Services (IPS) as an external provider of litigation monitoring services to ensure shareholder litigation cases affecting securities owned by the GEF are known about, claims are filed in a timely way and progress is monitored and </w:t>
      </w:r>
      <w:r w:rsidRPr="004614CC">
        <w:rPr>
          <w:rFonts w:ascii="Arial" w:hAnsi="Arial" w:cs="Arial"/>
          <w:snapToGrid w:val="0"/>
          <w:color w:val="000000" w:themeColor="text1" w:themeShade="80"/>
          <w:sz w:val="20"/>
          <w:szCs w:val="20"/>
        </w:rPr>
        <w:t>followed up with Claims Administrators.  In addition, IPS monitor cases relating to shares held by LCPF in the period before the Fund pooled its listed equity investments from November 2016.  Litigation can arise quite some time after shares have been sold</w:t>
      </w:r>
      <w:r w:rsidRPr="004614CC">
        <w:rPr>
          <w:rFonts w:ascii="Arial" w:hAnsi="Arial" w:cs="Arial"/>
          <w:snapToGrid w:val="0"/>
          <w:color w:val="000000" w:themeColor="text1" w:themeShade="80"/>
          <w:sz w:val="20"/>
          <w:szCs w:val="20"/>
        </w:rPr>
        <w:t xml:space="preserve"> and monitoring new cases and referring back to historic records to establish rights of ownership is an ongoing task.</w:t>
      </w:r>
    </w:p>
    <w:p w:rsidR="00846783" w:rsidRPr="003606C9" w:rsidP="00846783">
      <w:pPr>
        <w:spacing w:after="0"/>
        <w:rPr>
          <w:rFonts w:ascii="Verdana" w:hAnsi="Verdana"/>
          <w:snapToGrid w:val="0"/>
          <w:color w:val="000000" w:themeColor="text1" w:themeShade="80"/>
          <w:sz w:val="20"/>
          <w:szCs w:val="20"/>
        </w:rPr>
      </w:pPr>
    </w:p>
    <w:p w:rsidR="00846783" w:rsidP="00846783">
      <w:pPr>
        <w:spacing w:after="0"/>
        <w:rPr>
          <w:rFonts w:ascii="Arial" w:hAnsi="Arial" w:cs="Arial"/>
          <w:snapToGrid w:val="0"/>
          <w:color w:val="000000" w:themeColor="text1" w:themeShade="80"/>
          <w:sz w:val="20"/>
          <w:szCs w:val="20"/>
        </w:rPr>
      </w:pPr>
      <w:r w:rsidRPr="004614CC">
        <w:rPr>
          <w:rFonts w:ascii="Arial" w:hAnsi="Arial" w:cs="Arial"/>
          <w:snapToGrid w:val="0"/>
          <w:color w:val="000000" w:themeColor="text1" w:themeShade="80"/>
          <w:sz w:val="20"/>
          <w:szCs w:val="20"/>
        </w:rPr>
        <w:t xml:space="preserve">IPS provide LPPI with monitoring information on a quarterly basis detailing the number of cases investigated.  The monitoring report for </w:t>
      </w:r>
      <w:r w:rsidRPr="004614CC">
        <w:rPr>
          <w:rFonts w:ascii="Arial" w:hAnsi="Arial" w:cs="Arial"/>
          <w:snapToGrid w:val="0"/>
          <w:color w:val="000000" w:themeColor="text1" w:themeShade="80"/>
          <w:sz w:val="20"/>
          <w:szCs w:val="20"/>
        </w:rPr>
        <w:t>Q</w:t>
      </w:r>
      <w:r>
        <w:rPr>
          <w:rFonts w:ascii="Arial" w:hAnsi="Arial" w:cs="Arial"/>
          <w:snapToGrid w:val="0"/>
          <w:color w:val="000000" w:themeColor="text1" w:themeShade="80"/>
          <w:sz w:val="20"/>
          <w:szCs w:val="20"/>
        </w:rPr>
        <w:t>3</w:t>
      </w:r>
      <w:r w:rsidRPr="004614CC">
        <w:rPr>
          <w:rFonts w:ascii="Arial" w:hAnsi="Arial" w:cs="Arial"/>
          <w:snapToGrid w:val="0"/>
          <w:color w:val="000000" w:themeColor="text1" w:themeShade="80"/>
          <w:sz w:val="20"/>
          <w:szCs w:val="20"/>
        </w:rPr>
        <w:t xml:space="preserve"> 2019 confirms that </w:t>
      </w:r>
      <w:r>
        <w:rPr>
          <w:rFonts w:ascii="Arial" w:hAnsi="Arial" w:cs="Arial"/>
          <w:snapToGrid w:val="0"/>
          <w:color w:val="000000" w:themeColor="text1" w:themeShade="80"/>
          <w:sz w:val="20"/>
          <w:szCs w:val="20"/>
        </w:rPr>
        <w:t>3</w:t>
      </w:r>
      <w:r w:rsidRPr="004614CC">
        <w:rPr>
          <w:rFonts w:ascii="Arial" w:hAnsi="Arial" w:cs="Arial"/>
          <w:snapToGrid w:val="0"/>
          <w:color w:val="000000" w:themeColor="text1" w:themeShade="80"/>
          <w:sz w:val="20"/>
          <w:szCs w:val="20"/>
        </w:rPr>
        <w:t xml:space="preserve"> new potential cases have been identified where the Fund may have an entitlement to join a class action and eligibility is being assessed, there are a further </w:t>
      </w:r>
      <w:r>
        <w:rPr>
          <w:rFonts w:ascii="Arial" w:hAnsi="Arial" w:cs="Arial"/>
          <w:snapToGrid w:val="0"/>
          <w:color w:val="000000" w:themeColor="text1" w:themeShade="80"/>
          <w:sz w:val="20"/>
          <w:szCs w:val="20"/>
        </w:rPr>
        <w:t>11</w:t>
      </w:r>
      <w:r w:rsidRPr="004614CC">
        <w:rPr>
          <w:rFonts w:ascii="Arial" w:hAnsi="Arial" w:cs="Arial"/>
          <w:snapToGrid w:val="0"/>
          <w:color w:val="000000" w:themeColor="text1" w:themeShade="80"/>
          <w:sz w:val="20"/>
          <w:szCs w:val="20"/>
        </w:rPr>
        <w:t xml:space="preserve"> cases where eligibility has been confirmed and a claim filed. In Q1</w:t>
      </w:r>
      <w:r>
        <w:rPr>
          <w:rFonts w:ascii="Arial" w:hAnsi="Arial" w:cs="Arial"/>
          <w:snapToGrid w:val="0"/>
          <w:color w:val="000000" w:themeColor="text1" w:themeShade="80"/>
          <w:sz w:val="20"/>
          <w:szCs w:val="20"/>
        </w:rPr>
        <w:t xml:space="preserve">3 </w:t>
      </w:r>
      <w:r w:rsidRPr="004614CC">
        <w:rPr>
          <w:rFonts w:ascii="Arial" w:hAnsi="Arial" w:cs="Arial"/>
          <w:snapToGrid w:val="0"/>
          <w:color w:val="000000" w:themeColor="text1" w:themeShade="80"/>
          <w:sz w:val="20"/>
          <w:szCs w:val="20"/>
        </w:rPr>
        <w:t>th</w:t>
      </w:r>
      <w:r w:rsidRPr="004614CC">
        <w:rPr>
          <w:rFonts w:ascii="Arial" w:hAnsi="Arial" w:cs="Arial"/>
          <w:snapToGrid w:val="0"/>
          <w:color w:val="000000" w:themeColor="text1" w:themeShade="80"/>
          <w:sz w:val="20"/>
          <w:szCs w:val="20"/>
        </w:rPr>
        <w:t xml:space="preserve">e Fund received a disbursement of monies relating to </w:t>
      </w:r>
      <w:r>
        <w:rPr>
          <w:rFonts w:ascii="Arial" w:hAnsi="Arial" w:cs="Arial"/>
          <w:snapToGrid w:val="0"/>
          <w:color w:val="000000" w:themeColor="text1" w:themeShade="80"/>
          <w:sz w:val="20"/>
          <w:szCs w:val="20"/>
        </w:rPr>
        <w:t>two</w:t>
      </w:r>
      <w:r w:rsidRPr="004614CC">
        <w:rPr>
          <w:rFonts w:ascii="Arial" w:hAnsi="Arial" w:cs="Arial"/>
          <w:snapToGrid w:val="0"/>
          <w:color w:val="000000" w:themeColor="text1" w:themeShade="80"/>
          <w:sz w:val="20"/>
          <w:szCs w:val="20"/>
        </w:rPr>
        <w:t xml:space="preserve"> claim</w:t>
      </w:r>
      <w:r>
        <w:rPr>
          <w:rFonts w:ascii="Arial" w:hAnsi="Arial" w:cs="Arial"/>
          <w:snapToGrid w:val="0"/>
          <w:color w:val="000000" w:themeColor="text1" w:themeShade="80"/>
          <w:sz w:val="20"/>
          <w:szCs w:val="20"/>
        </w:rPr>
        <w:t>s</w:t>
      </w:r>
      <w:r w:rsidRPr="004614CC">
        <w:rPr>
          <w:rFonts w:ascii="Arial" w:hAnsi="Arial" w:cs="Arial"/>
          <w:snapToGrid w:val="0"/>
          <w:color w:val="000000" w:themeColor="text1" w:themeShade="80"/>
          <w:sz w:val="20"/>
          <w:szCs w:val="20"/>
        </w:rPr>
        <w:t xml:space="preserve"> that ha</w:t>
      </w:r>
      <w:r>
        <w:rPr>
          <w:rFonts w:ascii="Arial" w:hAnsi="Arial" w:cs="Arial"/>
          <w:snapToGrid w:val="0"/>
          <w:color w:val="000000" w:themeColor="text1" w:themeShade="80"/>
          <w:sz w:val="20"/>
          <w:szCs w:val="20"/>
        </w:rPr>
        <w:t>d</w:t>
      </w:r>
      <w:r w:rsidRPr="004614CC">
        <w:rPr>
          <w:rFonts w:ascii="Arial" w:hAnsi="Arial" w:cs="Arial"/>
          <w:snapToGrid w:val="0"/>
          <w:color w:val="000000" w:themeColor="text1" w:themeShade="80"/>
          <w:sz w:val="20"/>
          <w:szCs w:val="20"/>
        </w:rPr>
        <w:t xml:space="preserve"> reached settlement.</w:t>
      </w:r>
    </w:p>
    <w:p w:rsidR="00846783" w:rsidRPr="008103F0" w:rsidP="00846783">
      <w:pPr>
        <w:pStyle w:val="Default"/>
        <w:rPr>
          <w:rFonts w:ascii="Verdana" w:hAnsi="Verdana" w:cs="Arial"/>
          <w:b/>
          <w:bCs/>
          <w:color w:val="44546A" w:themeColor="text2"/>
          <w:sz w:val="20"/>
          <w:szCs w:val="20"/>
        </w:rPr>
      </w:pPr>
    </w:p>
    <w:p w:rsidR="00846783" w:rsidRPr="004614CC" w:rsidP="00846783">
      <w:pPr>
        <w:pStyle w:val="ListParagraph"/>
        <w:numPr>
          <w:ilvl w:val="0"/>
          <w:numId w:val="2"/>
        </w:numPr>
        <w:autoSpaceDE w:val="0"/>
        <w:autoSpaceDN w:val="0"/>
        <w:adjustRightInd w:val="0"/>
        <w:spacing w:after="0"/>
        <w:ind w:hanging="720"/>
        <w:rPr>
          <w:rFonts w:ascii="Arial" w:hAnsi="Arial" w:cs="Arial"/>
          <w:b/>
          <w:bCs/>
          <w:color w:val="44546A" w:themeColor="text2"/>
          <w:sz w:val="20"/>
          <w:szCs w:val="20"/>
        </w:rPr>
      </w:pPr>
      <w:r w:rsidRPr="004614CC">
        <w:rPr>
          <w:rFonts w:ascii="Arial" w:hAnsi="Arial" w:cs="Arial"/>
          <w:b/>
          <w:bCs/>
          <w:color w:val="44546A" w:themeColor="text2"/>
          <w:sz w:val="20"/>
          <w:szCs w:val="20"/>
        </w:rPr>
        <w:t>Active Investing</w:t>
      </w:r>
    </w:p>
    <w:p w:rsidR="00846783" w:rsidRPr="004614CC" w:rsidP="00846783">
      <w:pPr>
        <w:spacing w:after="0"/>
        <w:jc w:val="both"/>
        <w:rPr>
          <w:rFonts w:ascii="Arial" w:hAnsi="Arial" w:cs="Arial"/>
          <w:bCs/>
          <w:sz w:val="20"/>
          <w:szCs w:val="20"/>
        </w:rPr>
      </w:pPr>
    </w:p>
    <w:p w:rsidR="00846783" w:rsidP="00846783">
      <w:pPr>
        <w:spacing w:after="0"/>
        <w:rPr>
          <w:rFonts w:ascii="Arial" w:hAnsi="Arial" w:cs="Arial"/>
          <w:snapToGrid w:val="0"/>
          <w:color w:val="000000" w:themeColor="text1" w:themeShade="80"/>
          <w:sz w:val="20"/>
          <w:szCs w:val="20"/>
        </w:rPr>
      </w:pPr>
      <w:r w:rsidRPr="004614CC">
        <w:rPr>
          <w:rFonts w:ascii="Arial" w:hAnsi="Arial" w:cs="Arial"/>
          <w:snapToGrid w:val="0"/>
          <w:color w:val="000000" w:themeColor="text1" w:themeShade="80"/>
          <w:sz w:val="20"/>
          <w:szCs w:val="20"/>
        </w:rPr>
        <w:t xml:space="preserve">The LCPF Responsible Investment Policy describes active investing as the search for sustainable investments which meet LCPF’s requirements for </w:t>
      </w:r>
      <w:r w:rsidRPr="004614CC">
        <w:rPr>
          <w:rFonts w:ascii="Arial" w:hAnsi="Arial" w:cs="Arial"/>
          <w:snapToGrid w:val="0"/>
          <w:color w:val="000000" w:themeColor="text1" w:themeShade="80"/>
          <w:sz w:val="20"/>
          <w:szCs w:val="20"/>
        </w:rPr>
        <w:t>strong returns combined with best practice in ESG and corporate governance.  The Fund has not set allocations for investments within specific sectors or identified impact themes but in general favours investments with positive social outcomes and has expre</w:t>
      </w:r>
      <w:r w:rsidRPr="004614CC">
        <w:rPr>
          <w:rFonts w:ascii="Arial" w:hAnsi="Arial" w:cs="Arial"/>
          <w:snapToGrid w:val="0"/>
          <w:color w:val="000000" w:themeColor="text1" w:themeShade="80"/>
          <w:sz w:val="20"/>
          <w:szCs w:val="20"/>
        </w:rPr>
        <w:t>ssed an interest in understanding where current investments are delivering social benefits in addition to generating investment returns. Examples of socially positive investments are available from across the asset classes the fund invests in.</w:t>
      </w:r>
    </w:p>
    <w:p w:rsidR="00846783" w:rsidP="00846783">
      <w:pPr>
        <w:spacing w:after="0"/>
        <w:rPr>
          <w:rFonts w:ascii="Arial" w:hAnsi="Arial" w:cs="Arial"/>
          <w:snapToGrid w:val="0"/>
          <w:color w:val="000000" w:themeColor="text1" w:themeShade="80"/>
          <w:sz w:val="20"/>
          <w:szCs w:val="20"/>
        </w:rPr>
      </w:pPr>
    </w:p>
    <w:p w:rsidR="0067440A" w:rsidP="00846783">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Infrastruct</w:t>
      </w:r>
      <w:r>
        <w:rPr>
          <w:rFonts w:ascii="Arial" w:hAnsi="Arial" w:cs="Arial"/>
          <w:snapToGrid w:val="0"/>
          <w:color w:val="000000" w:themeColor="text1" w:themeShade="80"/>
          <w:sz w:val="20"/>
          <w:szCs w:val="20"/>
        </w:rPr>
        <w:t>ure</w:t>
      </w:r>
    </w:p>
    <w:p w:rsidR="0067440A" w:rsidP="00846783">
      <w:pPr>
        <w:shd w:val="clear" w:color="auto" w:fill="FFFFFF"/>
        <w:spacing w:after="0" w:line="240" w:lineRule="auto"/>
        <w:rPr>
          <w:rFonts w:ascii="Arial" w:hAnsi="Arial" w:cs="Arial"/>
          <w:snapToGrid w:val="0"/>
          <w:color w:val="000000" w:themeColor="text1" w:themeShade="80"/>
          <w:sz w:val="20"/>
          <w:szCs w:val="20"/>
        </w:rPr>
      </w:pPr>
    </w:p>
    <w:p w:rsidR="00C40C73" w:rsidP="00846783">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 xml:space="preserve">In the period since the committee last met </w:t>
      </w:r>
      <w:r>
        <w:rPr>
          <w:rFonts w:ascii="Arial" w:hAnsi="Arial" w:cs="Arial"/>
          <w:snapToGrid w:val="0"/>
          <w:color w:val="000000" w:themeColor="text1" w:themeShade="80"/>
          <w:sz w:val="20"/>
          <w:szCs w:val="20"/>
        </w:rPr>
        <w:t xml:space="preserve">an </w:t>
      </w:r>
      <w:r>
        <w:rPr>
          <w:rFonts w:ascii="Arial" w:hAnsi="Arial" w:cs="Arial"/>
          <w:snapToGrid w:val="0"/>
          <w:color w:val="000000" w:themeColor="text1" w:themeShade="80"/>
          <w:sz w:val="20"/>
          <w:szCs w:val="20"/>
        </w:rPr>
        <w:t xml:space="preserve">infrastructure </w:t>
      </w:r>
      <w:r>
        <w:rPr>
          <w:rFonts w:ascii="Arial" w:hAnsi="Arial" w:cs="Arial"/>
          <w:snapToGrid w:val="0"/>
          <w:color w:val="000000" w:themeColor="text1" w:themeShade="80"/>
          <w:sz w:val="20"/>
          <w:szCs w:val="20"/>
        </w:rPr>
        <w:t>investment in Rock</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Rail East Anglia</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(through GLIL) </w:t>
      </w:r>
      <w:r>
        <w:rPr>
          <w:rFonts w:ascii="Arial" w:hAnsi="Arial" w:cs="Arial"/>
          <w:snapToGrid w:val="0"/>
          <w:color w:val="000000" w:themeColor="text1" w:themeShade="80"/>
          <w:sz w:val="20"/>
          <w:szCs w:val="20"/>
        </w:rPr>
        <w:t xml:space="preserve">has received positive media coverage related to the launch of a new fleet of passenger trains which are serving the Greater </w:t>
      </w:r>
      <w:r>
        <w:rPr>
          <w:rFonts w:ascii="Arial" w:hAnsi="Arial" w:cs="Arial"/>
          <w:snapToGrid w:val="0"/>
          <w:color w:val="000000" w:themeColor="text1" w:themeShade="80"/>
          <w:sz w:val="20"/>
          <w:szCs w:val="20"/>
        </w:rPr>
        <w:t>A</w:t>
      </w:r>
      <w:r>
        <w:rPr>
          <w:rFonts w:ascii="Arial" w:hAnsi="Arial" w:cs="Arial"/>
          <w:snapToGrid w:val="0"/>
          <w:color w:val="000000" w:themeColor="text1" w:themeShade="80"/>
          <w:sz w:val="20"/>
          <w:szCs w:val="20"/>
        </w:rPr>
        <w:t>glia</w:t>
      </w:r>
      <w:r>
        <w:rPr>
          <w:rFonts w:ascii="Arial" w:hAnsi="Arial" w:cs="Arial"/>
          <w:snapToGrid w:val="0"/>
          <w:color w:val="000000" w:themeColor="text1" w:themeShade="80"/>
          <w:sz w:val="20"/>
          <w:szCs w:val="20"/>
        </w:rPr>
        <w:t xml:space="preserve"> region.</w:t>
      </w:r>
    </w:p>
    <w:p w:rsidR="00C40C73" w:rsidP="00846783">
      <w:pPr>
        <w:shd w:val="clear" w:color="auto" w:fill="FFFFFF"/>
        <w:spacing w:after="0" w:line="240" w:lineRule="auto"/>
        <w:rPr>
          <w:rFonts w:ascii="Arial" w:hAnsi="Arial" w:cs="Arial"/>
          <w:snapToGrid w:val="0"/>
          <w:color w:val="000000" w:themeColor="text1" w:themeShade="80"/>
          <w:sz w:val="20"/>
          <w:szCs w:val="20"/>
        </w:rPr>
      </w:pPr>
    </w:p>
    <w:p w:rsidR="00C40C73" w:rsidP="00846783">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A press release on th</w:t>
      </w:r>
      <w:r>
        <w:rPr>
          <w:rFonts w:ascii="Arial" w:hAnsi="Arial" w:cs="Arial"/>
          <w:snapToGrid w:val="0"/>
          <w:color w:val="000000" w:themeColor="text1" w:themeShade="80"/>
          <w:sz w:val="20"/>
          <w:szCs w:val="20"/>
        </w:rPr>
        <w:t>e</w:t>
      </w:r>
      <w:r>
        <w:rPr>
          <w:rFonts w:ascii="Arial" w:hAnsi="Arial" w:cs="Arial"/>
          <w:snapToGrid w:val="0"/>
          <w:color w:val="000000" w:themeColor="text1" w:themeShade="80"/>
          <w:sz w:val="20"/>
          <w:szCs w:val="20"/>
        </w:rPr>
        <w:t xml:space="preserve"> initiative </w:t>
      </w:r>
      <w:r>
        <w:rPr>
          <w:rFonts w:ascii="Arial" w:hAnsi="Arial" w:cs="Arial"/>
          <w:snapToGrid w:val="0"/>
          <w:color w:val="000000" w:themeColor="text1" w:themeShade="80"/>
          <w:sz w:val="20"/>
          <w:szCs w:val="20"/>
        </w:rPr>
        <w:t>produced by</w:t>
      </w:r>
      <w:r>
        <w:rPr>
          <w:rFonts w:ascii="Arial" w:hAnsi="Arial" w:cs="Arial"/>
          <w:snapToGrid w:val="0"/>
          <w:color w:val="000000" w:themeColor="text1" w:themeShade="80"/>
          <w:sz w:val="20"/>
          <w:szCs w:val="20"/>
        </w:rPr>
        <w:t xml:space="preserve"> GLIL provides </w:t>
      </w:r>
      <w:r>
        <w:rPr>
          <w:rFonts w:ascii="Arial" w:hAnsi="Arial" w:cs="Arial"/>
          <w:snapToGrid w:val="0"/>
          <w:color w:val="000000" w:themeColor="text1" w:themeShade="80"/>
          <w:sz w:val="20"/>
          <w:szCs w:val="20"/>
        </w:rPr>
        <w:t xml:space="preserve">further </w:t>
      </w:r>
      <w:r>
        <w:rPr>
          <w:rFonts w:ascii="Arial" w:hAnsi="Arial" w:cs="Arial"/>
          <w:snapToGrid w:val="0"/>
          <w:color w:val="000000" w:themeColor="text1" w:themeShade="80"/>
          <w:sz w:val="20"/>
          <w:szCs w:val="20"/>
        </w:rPr>
        <w:t xml:space="preserve">detail </w:t>
      </w:r>
      <w:r>
        <w:rPr>
          <w:rFonts w:ascii="Arial" w:hAnsi="Arial" w:cs="Arial"/>
          <w:snapToGrid w:val="0"/>
          <w:color w:val="000000" w:themeColor="text1" w:themeShade="80"/>
          <w:sz w:val="20"/>
          <w:szCs w:val="20"/>
        </w:rPr>
        <w:t>on</w:t>
      </w:r>
      <w:r>
        <w:rPr>
          <w:rFonts w:ascii="Arial" w:hAnsi="Arial" w:cs="Arial"/>
          <w:snapToGrid w:val="0"/>
          <w:color w:val="000000" w:themeColor="text1" w:themeShade="80"/>
          <w:sz w:val="20"/>
          <w:szCs w:val="20"/>
        </w:rPr>
        <w:t xml:space="preserve"> the benefits provided </w:t>
      </w:r>
      <w:r>
        <w:rPr>
          <w:rFonts w:ascii="Arial" w:hAnsi="Arial" w:cs="Arial"/>
          <w:snapToGrid w:val="0"/>
          <w:color w:val="000000" w:themeColor="text1" w:themeShade="80"/>
          <w:sz w:val="20"/>
          <w:szCs w:val="20"/>
        </w:rPr>
        <w:t xml:space="preserve">by the Rock Rail partnership </w:t>
      </w:r>
      <w:r>
        <w:rPr>
          <w:rFonts w:ascii="Arial" w:hAnsi="Arial" w:cs="Arial"/>
          <w:snapToGrid w:val="0"/>
          <w:color w:val="000000" w:themeColor="text1" w:themeShade="80"/>
          <w:sz w:val="20"/>
          <w:szCs w:val="20"/>
        </w:rPr>
        <w:t xml:space="preserve">and </w:t>
      </w:r>
      <w:r>
        <w:rPr>
          <w:rFonts w:ascii="Arial" w:hAnsi="Arial" w:cs="Arial"/>
          <w:snapToGrid w:val="0"/>
          <w:color w:val="000000" w:themeColor="text1" w:themeShade="80"/>
          <w:sz w:val="20"/>
          <w:szCs w:val="20"/>
        </w:rPr>
        <w:t>records a</w:t>
      </w:r>
      <w:r>
        <w:rPr>
          <w:rFonts w:ascii="Arial" w:hAnsi="Arial" w:cs="Arial"/>
          <w:snapToGrid w:val="0"/>
          <w:color w:val="000000" w:themeColor="text1" w:themeShade="80"/>
          <w:sz w:val="20"/>
          <w:szCs w:val="20"/>
        </w:rPr>
        <w:t xml:space="preserve"> positive reception</w:t>
      </w:r>
      <w:r>
        <w:rPr>
          <w:rFonts w:ascii="Arial" w:hAnsi="Arial" w:cs="Arial"/>
          <w:snapToGrid w:val="0"/>
          <w:color w:val="000000" w:themeColor="text1" w:themeShade="80"/>
          <w:sz w:val="20"/>
          <w:szCs w:val="20"/>
        </w:rPr>
        <w:t xml:space="preserve"> for the launch of the </w:t>
      </w:r>
      <w:r>
        <w:rPr>
          <w:rFonts w:ascii="Arial" w:hAnsi="Arial" w:cs="Arial"/>
          <w:snapToGrid w:val="0"/>
          <w:color w:val="000000" w:themeColor="text1" w:themeShade="80"/>
          <w:sz w:val="20"/>
          <w:szCs w:val="20"/>
        </w:rPr>
        <w:t xml:space="preserve">first cohort of </w:t>
      </w:r>
      <w:r>
        <w:rPr>
          <w:rFonts w:ascii="Arial" w:hAnsi="Arial" w:cs="Arial"/>
          <w:snapToGrid w:val="0"/>
          <w:color w:val="000000" w:themeColor="text1" w:themeShade="80"/>
          <w:sz w:val="20"/>
          <w:szCs w:val="20"/>
        </w:rPr>
        <w:t>new trains.</w:t>
      </w:r>
    </w:p>
    <w:p w:rsidR="00C40C73" w:rsidP="00846783">
      <w:pPr>
        <w:shd w:val="clear" w:color="auto" w:fill="FFFFFF"/>
        <w:spacing w:after="0" w:line="240" w:lineRule="auto"/>
      </w:pPr>
      <w:r>
        <w:fldChar w:fldCharType="begin"/>
      </w:r>
      <w:r>
        <w:instrText xml:space="preserve"> HYPERLINK "https://www.glil.co.uk/assets/Greater-Anglia-has-formally-launched-its-new-fleet-of-regional-trains-with-special-runs-between-Lowestoft-and-Norwich.pdf" </w:instrText>
      </w:r>
      <w:r>
        <w:fldChar w:fldCharType="separate"/>
      </w:r>
      <w:r>
        <w:rPr>
          <w:rStyle w:val="Hyperlink"/>
        </w:rPr>
        <w:t>https://www.glil.co.uk/assets/Greater-Anglia-has-formally-launched-its-new-fleet-of-regiona</w:t>
      </w:r>
      <w:r>
        <w:rPr>
          <w:rStyle w:val="Hyperlink"/>
        </w:rPr>
        <w:t>l-trains-with-special-runs-between-Lowestoft-and-Norwich.pdf</w:t>
      </w:r>
      <w:r>
        <w:fldChar w:fldCharType="end"/>
      </w:r>
    </w:p>
    <w:p w:rsidR="00C40C73" w:rsidP="00846783">
      <w:pPr>
        <w:shd w:val="clear" w:color="auto" w:fill="FFFFFF"/>
        <w:spacing w:after="0" w:line="240" w:lineRule="auto"/>
      </w:pPr>
    </w:p>
    <w:p w:rsidR="00E50C37" w:rsidP="00846783">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 xml:space="preserve">The development of a website by GLIL </w:t>
      </w:r>
      <w:r>
        <w:fldChar w:fldCharType="begin"/>
      </w:r>
      <w:r>
        <w:instrText xml:space="preserve"> HYPERLINK "https://www.glil.co.uk/" </w:instrText>
      </w:r>
      <w:r>
        <w:fldChar w:fldCharType="separate"/>
      </w:r>
      <w:r w:rsidRPr="00CC2B72">
        <w:rPr>
          <w:color w:val="0000FF"/>
          <w:u w:val="single"/>
        </w:rPr>
        <w:t>https://www.glil.co.uk/</w:t>
      </w:r>
      <w:r>
        <w:fldChar w:fldCharType="end"/>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has</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enabled</w:t>
      </w:r>
      <w:r>
        <w:rPr>
          <w:rFonts w:ascii="Arial" w:hAnsi="Arial" w:cs="Arial"/>
          <w:snapToGrid w:val="0"/>
          <w:color w:val="000000" w:themeColor="text1" w:themeShade="80"/>
          <w:sz w:val="20"/>
          <w:szCs w:val="20"/>
        </w:rPr>
        <w:t xml:space="preserve"> information about the infrastructure partnership (origination, history to date</w:t>
      </w:r>
      <w:r>
        <w:rPr>
          <w:rFonts w:ascii="Arial" w:hAnsi="Arial" w:cs="Arial"/>
          <w:snapToGrid w:val="0"/>
          <w:color w:val="000000" w:themeColor="text1" w:themeShade="80"/>
          <w:sz w:val="20"/>
          <w:szCs w:val="20"/>
        </w:rPr>
        <w:t xml:space="preserve">, delivery aims and current </w:t>
      </w:r>
      <w:r>
        <w:rPr>
          <w:rFonts w:ascii="Arial" w:hAnsi="Arial" w:cs="Arial"/>
          <w:snapToGrid w:val="0"/>
          <w:color w:val="000000" w:themeColor="text1" w:themeShade="80"/>
          <w:sz w:val="20"/>
          <w:szCs w:val="20"/>
        </w:rPr>
        <w:t>portfolio</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to be</w:t>
      </w:r>
      <w:r>
        <w:rPr>
          <w:rFonts w:ascii="Arial" w:hAnsi="Arial" w:cs="Arial"/>
          <w:snapToGrid w:val="0"/>
          <w:color w:val="000000" w:themeColor="text1" w:themeShade="80"/>
          <w:sz w:val="20"/>
          <w:szCs w:val="20"/>
        </w:rPr>
        <w:t xml:space="preserve"> publicly available</w:t>
      </w:r>
      <w:r>
        <w:rPr>
          <w:rFonts w:ascii="Arial" w:hAnsi="Arial" w:cs="Arial"/>
          <w:snapToGrid w:val="0"/>
          <w:color w:val="000000" w:themeColor="text1" w:themeShade="80"/>
          <w:sz w:val="20"/>
          <w:szCs w:val="20"/>
        </w:rPr>
        <w:t xml:space="preserve"> and </w:t>
      </w:r>
      <w:r>
        <w:rPr>
          <w:rFonts w:ascii="Arial" w:hAnsi="Arial" w:cs="Arial"/>
          <w:snapToGrid w:val="0"/>
          <w:color w:val="000000" w:themeColor="text1" w:themeShade="80"/>
          <w:sz w:val="20"/>
          <w:szCs w:val="20"/>
        </w:rPr>
        <w:t>details</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are </w:t>
      </w:r>
      <w:r>
        <w:rPr>
          <w:rFonts w:ascii="Arial" w:hAnsi="Arial" w:cs="Arial"/>
          <w:snapToGrid w:val="0"/>
          <w:color w:val="000000" w:themeColor="text1" w:themeShade="80"/>
          <w:sz w:val="20"/>
          <w:szCs w:val="20"/>
        </w:rPr>
        <w:t xml:space="preserve">now </w:t>
      </w:r>
      <w:r>
        <w:rPr>
          <w:rFonts w:ascii="Arial" w:hAnsi="Arial" w:cs="Arial"/>
          <w:snapToGrid w:val="0"/>
          <w:color w:val="000000" w:themeColor="text1" w:themeShade="80"/>
          <w:sz w:val="20"/>
          <w:szCs w:val="20"/>
        </w:rPr>
        <w:t>accessible on</w:t>
      </w:r>
      <w:r>
        <w:rPr>
          <w:rFonts w:ascii="Arial" w:hAnsi="Arial" w:cs="Arial"/>
          <w:snapToGrid w:val="0"/>
          <w:color w:val="000000" w:themeColor="text1" w:themeShade="80"/>
          <w:sz w:val="20"/>
          <w:szCs w:val="20"/>
        </w:rPr>
        <w:t xml:space="preserve"> individual investments made </w:t>
      </w:r>
      <w:r>
        <w:rPr>
          <w:rFonts w:ascii="Arial" w:hAnsi="Arial" w:cs="Arial"/>
          <w:snapToGrid w:val="0"/>
          <w:color w:val="000000" w:themeColor="text1" w:themeShade="80"/>
          <w:sz w:val="20"/>
          <w:szCs w:val="20"/>
        </w:rPr>
        <w:t xml:space="preserve">to date </w:t>
      </w:r>
      <w:r>
        <w:rPr>
          <w:rFonts w:ascii="Arial" w:hAnsi="Arial" w:cs="Arial"/>
          <w:snapToGrid w:val="0"/>
          <w:color w:val="000000" w:themeColor="text1" w:themeShade="80"/>
          <w:sz w:val="20"/>
          <w:szCs w:val="20"/>
        </w:rPr>
        <w:t xml:space="preserve">by what is now a </w:t>
      </w:r>
      <w:r w:rsidRPr="00CC2B72">
        <w:rPr>
          <w:rFonts w:ascii="Arial" w:hAnsi="Arial" w:cs="Arial"/>
          <w:snapToGrid w:val="0"/>
          <w:color w:val="000000" w:themeColor="text1" w:themeShade="80"/>
          <w:sz w:val="20"/>
          <w:szCs w:val="20"/>
        </w:rPr>
        <w:t>£1</w:t>
      </w:r>
      <w:r>
        <w:rPr>
          <w:rFonts w:ascii="Arial" w:hAnsi="Arial" w:cs="Arial"/>
          <w:snapToGrid w:val="0"/>
          <w:color w:val="000000" w:themeColor="text1" w:themeShade="80"/>
          <w:sz w:val="20"/>
          <w:szCs w:val="20"/>
        </w:rPr>
        <w:t>.</w:t>
      </w:r>
      <w:r w:rsidRPr="00CC2B72">
        <w:rPr>
          <w:rFonts w:ascii="Arial" w:hAnsi="Arial" w:cs="Arial"/>
          <w:snapToGrid w:val="0"/>
          <w:color w:val="000000" w:themeColor="text1" w:themeShade="80"/>
          <w:sz w:val="20"/>
          <w:szCs w:val="20"/>
        </w:rPr>
        <w:t xml:space="preserve">275 billion alternative investment fund targeting core infrastructure opportunities </w:t>
      </w:r>
      <w:r>
        <w:rPr>
          <w:rFonts w:ascii="Arial" w:hAnsi="Arial" w:cs="Arial"/>
          <w:snapToGrid w:val="0"/>
          <w:color w:val="000000" w:themeColor="text1" w:themeShade="80"/>
          <w:sz w:val="20"/>
          <w:szCs w:val="20"/>
        </w:rPr>
        <w:t>(</w:t>
      </w:r>
      <w:r w:rsidRPr="00CC2B72">
        <w:rPr>
          <w:rFonts w:ascii="Arial" w:hAnsi="Arial" w:cs="Arial"/>
          <w:snapToGrid w:val="0"/>
          <w:color w:val="000000" w:themeColor="text1" w:themeShade="80"/>
          <w:sz w:val="20"/>
          <w:szCs w:val="20"/>
        </w:rPr>
        <w:t xml:space="preserve">predominantly in </w:t>
      </w:r>
      <w:r w:rsidRPr="00CC2B72">
        <w:rPr>
          <w:rFonts w:ascii="Arial" w:hAnsi="Arial" w:cs="Arial"/>
          <w:snapToGrid w:val="0"/>
          <w:color w:val="000000" w:themeColor="text1" w:themeShade="80"/>
          <w:sz w:val="20"/>
          <w:szCs w:val="20"/>
        </w:rPr>
        <w:t>the United Kingdom</w:t>
      </w:r>
      <w:r>
        <w:rPr>
          <w:rFonts w:ascii="Arial" w:hAnsi="Arial" w:cs="Arial"/>
          <w:snapToGrid w:val="0"/>
          <w:color w:val="000000" w:themeColor="text1" w:themeShade="80"/>
          <w:sz w:val="20"/>
          <w:szCs w:val="20"/>
        </w:rPr>
        <w:t>)</w:t>
      </w:r>
      <w:r w:rsidRPr="00CC2B72">
        <w:rPr>
          <w:rFonts w:ascii="Arial" w:hAnsi="Arial" w:cs="Arial"/>
          <w:snapToGrid w:val="0"/>
          <w:color w:val="000000" w:themeColor="text1" w:themeShade="80"/>
          <w:sz w:val="20"/>
          <w:szCs w:val="20"/>
        </w:rPr>
        <w:t>.</w:t>
      </w:r>
      <w:r>
        <w:rPr>
          <w:rFonts w:ascii="Arial" w:hAnsi="Arial" w:cs="Arial"/>
          <w:snapToGrid w:val="0"/>
          <w:color w:val="000000" w:themeColor="text1" w:themeShade="80"/>
          <w:sz w:val="20"/>
          <w:szCs w:val="20"/>
        </w:rPr>
        <w:t xml:space="preserve"> </w:t>
      </w:r>
    </w:p>
    <w:p w:rsidR="00926AE1" w:rsidP="00846783">
      <w:pPr>
        <w:shd w:val="clear" w:color="auto" w:fill="FFFFFF"/>
        <w:spacing w:after="0" w:line="240" w:lineRule="auto"/>
        <w:rPr>
          <w:rFonts w:ascii="Arial" w:hAnsi="Arial" w:cs="Arial"/>
          <w:snapToGrid w:val="0"/>
          <w:color w:val="000000" w:themeColor="text1" w:themeShade="80"/>
          <w:sz w:val="20"/>
          <w:szCs w:val="20"/>
        </w:rPr>
      </w:pPr>
    </w:p>
    <w:p w:rsidR="00926AE1" w:rsidP="00846783">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 xml:space="preserve">Current investments </w:t>
      </w:r>
      <w:r>
        <w:rPr>
          <w:rFonts w:ascii="Arial" w:hAnsi="Arial" w:cs="Arial"/>
          <w:snapToGrid w:val="0"/>
          <w:color w:val="000000" w:themeColor="text1" w:themeShade="80"/>
          <w:sz w:val="20"/>
          <w:szCs w:val="20"/>
        </w:rPr>
        <w:t xml:space="preserve">in </w:t>
      </w:r>
      <w:r>
        <w:rPr>
          <w:rFonts w:ascii="Arial" w:hAnsi="Arial" w:cs="Arial"/>
          <w:snapToGrid w:val="0"/>
          <w:color w:val="000000" w:themeColor="text1" w:themeShade="80"/>
          <w:sz w:val="20"/>
          <w:szCs w:val="20"/>
        </w:rPr>
        <w:t xml:space="preserve">which the Fund has an interest through GLIL </w:t>
      </w:r>
      <w:r>
        <w:rPr>
          <w:rFonts w:ascii="Arial" w:hAnsi="Arial" w:cs="Arial"/>
          <w:snapToGrid w:val="0"/>
          <w:color w:val="000000" w:themeColor="text1" w:themeShade="80"/>
          <w:sz w:val="20"/>
          <w:szCs w:val="20"/>
        </w:rPr>
        <w:t xml:space="preserve">(and which are having positive economic, employment and social benefits within the UK) </w:t>
      </w:r>
      <w:r>
        <w:rPr>
          <w:rFonts w:ascii="Arial" w:hAnsi="Arial" w:cs="Arial"/>
          <w:snapToGrid w:val="0"/>
          <w:color w:val="000000" w:themeColor="text1" w:themeShade="80"/>
          <w:sz w:val="20"/>
          <w:szCs w:val="20"/>
        </w:rPr>
        <w:t xml:space="preserve">include </w:t>
      </w:r>
      <w:r>
        <w:rPr>
          <w:rFonts w:ascii="Arial" w:hAnsi="Arial" w:cs="Arial"/>
          <w:snapToGrid w:val="0"/>
          <w:color w:val="000000" w:themeColor="text1" w:themeShade="80"/>
          <w:sz w:val="20"/>
          <w:szCs w:val="20"/>
        </w:rPr>
        <w:t xml:space="preserve">the supply of </w:t>
      </w:r>
      <w:r>
        <w:rPr>
          <w:rFonts w:ascii="Arial" w:hAnsi="Arial" w:cs="Arial"/>
          <w:snapToGrid w:val="0"/>
          <w:color w:val="000000" w:themeColor="text1" w:themeShade="80"/>
          <w:sz w:val="20"/>
          <w:szCs w:val="20"/>
        </w:rPr>
        <w:t>renewable</w:t>
      </w:r>
      <w:r>
        <w:rPr>
          <w:rFonts w:ascii="Arial" w:hAnsi="Arial" w:cs="Arial"/>
          <w:snapToGrid w:val="0"/>
          <w:color w:val="000000" w:themeColor="text1" w:themeShade="80"/>
          <w:sz w:val="20"/>
          <w:szCs w:val="20"/>
        </w:rPr>
        <w:t xml:space="preserve"> power (wind and solar)</w:t>
      </w:r>
      <w:r>
        <w:rPr>
          <w:rFonts w:ascii="Arial" w:hAnsi="Arial" w:cs="Arial"/>
          <w:snapToGrid w:val="0"/>
          <w:color w:val="000000" w:themeColor="text1" w:themeShade="80"/>
          <w:sz w:val="20"/>
          <w:szCs w:val="20"/>
        </w:rPr>
        <w:t xml:space="preserve"> and bio-energy</w:t>
      </w:r>
      <w:r>
        <w:rPr>
          <w:rFonts w:ascii="Arial" w:hAnsi="Arial" w:cs="Arial"/>
          <w:snapToGrid w:val="0"/>
          <w:color w:val="000000" w:themeColor="text1" w:themeShade="80"/>
          <w:sz w:val="20"/>
          <w:szCs w:val="20"/>
        </w:rPr>
        <w:t xml:space="preserve"> (generating electricity and heat from waste)</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specialist logistics via </w:t>
      </w:r>
      <w:r>
        <w:rPr>
          <w:rFonts w:ascii="Arial" w:hAnsi="Arial" w:cs="Arial"/>
          <w:snapToGrid w:val="0"/>
          <w:color w:val="000000" w:themeColor="text1" w:themeShade="80"/>
          <w:sz w:val="20"/>
          <w:szCs w:val="20"/>
        </w:rPr>
        <w:t xml:space="preserve">one of </w:t>
      </w:r>
      <w:r w:rsidRPr="0080595F">
        <w:rPr>
          <w:rFonts w:ascii="Arial" w:hAnsi="Arial" w:cs="Arial"/>
          <w:snapToGrid w:val="0"/>
          <w:color w:val="000000" w:themeColor="text1" w:themeShade="80"/>
          <w:sz w:val="20"/>
          <w:szCs w:val="20"/>
        </w:rPr>
        <w:t>the UK’s largest port groups</w:t>
      </w:r>
      <w:r w:rsidRPr="0080595F">
        <w:rPr>
          <w:rFonts w:ascii="Arial" w:hAnsi="Arial" w:cs="Arial"/>
          <w:snapToGrid w:val="0"/>
          <w:color w:val="000000" w:themeColor="text1" w:themeShade="80"/>
          <w:sz w:val="20"/>
          <w:szCs w:val="20"/>
        </w:rPr>
        <w:t>,</w:t>
      </w:r>
      <w:r w:rsidRPr="0080595F">
        <w:rPr>
          <w:rFonts w:ascii="Arial" w:hAnsi="Arial" w:cs="Arial"/>
          <w:snapToGrid w:val="0"/>
          <w:color w:val="000000" w:themeColor="text1" w:themeShade="80"/>
          <w:sz w:val="20"/>
          <w:szCs w:val="20"/>
        </w:rPr>
        <w:t xml:space="preserve"> and a portfolio of 92 operational assets </w:t>
      </w:r>
      <w:r w:rsidRPr="0080595F">
        <w:rPr>
          <w:rFonts w:ascii="Arial" w:hAnsi="Arial" w:cs="Arial"/>
          <w:snapToGrid w:val="0"/>
          <w:color w:val="000000" w:themeColor="text1" w:themeShade="80"/>
          <w:sz w:val="20"/>
          <w:szCs w:val="20"/>
        </w:rPr>
        <w:t>supporting service</w:t>
      </w:r>
      <w:r w:rsidRPr="0080595F">
        <w:rPr>
          <w:rFonts w:ascii="Arial" w:hAnsi="Arial" w:cs="Arial"/>
          <w:snapToGrid w:val="0"/>
          <w:color w:val="000000" w:themeColor="text1" w:themeShade="80"/>
          <w:sz w:val="20"/>
          <w:szCs w:val="20"/>
        </w:rPr>
        <w:t xml:space="preserve"> provision </w:t>
      </w:r>
      <w:r w:rsidRPr="0080595F">
        <w:rPr>
          <w:rFonts w:ascii="Arial" w:hAnsi="Arial" w:cs="Arial"/>
          <w:snapToGrid w:val="0"/>
          <w:color w:val="000000" w:themeColor="text1" w:themeShade="80"/>
          <w:sz w:val="20"/>
          <w:szCs w:val="20"/>
        </w:rPr>
        <w:t>within</w:t>
      </w:r>
      <w:r w:rsidRPr="0080595F">
        <w:rPr>
          <w:rFonts w:ascii="Arial" w:hAnsi="Arial" w:cs="Arial"/>
          <w:snapToGrid w:val="0"/>
          <w:color w:val="000000" w:themeColor="text1" w:themeShade="80"/>
          <w:sz w:val="20"/>
          <w:szCs w:val="20"/>
        </w:rPr>
        <w:t xml:space="preserve"> </w:t>
      </w:r>
      <w:r w:rsidRPr="0080595F">
        <w:rPr>
          <w:rFonts w:ascii="Arial" w:hAnsi="Arial" w:cs="Arial"/>
          <w:snapToGrid w:val="0"/>
          <w:color w:val="000000" w:themeColor="text1" w:themeShade="80"/>
          <w:sz w:val="20"/>
          <w:szCs w:val="20"/>
        </w:rPr>
        <w:t>h</w:t>
      </w:r>
      <w:r w:rsidRPr="0080595F">
        <w:rPr>
          <w:rFonts w:ascii="Arial" w:hAnsi="Arial" w:cs="Arial"/>
          <w:snapToGrid w:val="0"/>
          <w:color w:val="000000" w:themeColor="text1" w:themeShade="80"/>
          <w:sz w:val="20"/>
          <w:szCs w:val="20"/>
        </w:rPr>
        <w:t xml:space="preserve">ealthcare, </w:t>
      </w:r>
      <w:r w:rsidRPr="0080595F">
        <w:rPr>
          <w:rFonts w:ascii="Arial" w:hAnsi="Arial" w:cs="Arial"/>
          <w:snapToGrid w:val="0"/>
          <w:color w:val="000000" w:themeColor="text1" w:themeShade="80"/>
          <w:sz w:val="20"/>
          <w:szCs w:val="20"/>
        </w:rPr>
        <w:t>e</w:t>
      </w:r>
      <w:r w:rsidRPr="0080595F">
        <w:rPr>
          <w:rFonts w:ascii="Arial" w:hAnsi="Arial" w:cs="Arial"/>
          <w:snapToGrid w:val="0"/>
          <w:color w:val="000000" w:themeColor="text1" w:themeShade="80"/>
          <w:sz w:val="20"/>
          <w:szCs w:val="20"/>
        </w:rPr>
        <w:t xml:space="preserve">ducation, </w:t>
      </w:r>
      <w:r w:rsidRPr="0080595F">
        <w:rPr>
          <w:rFonts w:ascii="Arial" w:hAnsi="Arial" w:cs="Arial"/>
          <w:snapToGrid w:val="0"/>
          <w:color w:val="000000" w:themeColor="text1" w:themeShade="80"/>
          <w:sz w:val="20"/>
          <w:szCs w:val="20"/>
        </w:rPr>
        <w:t>a</w:t>
      </w:r>
      <w:r w:rsidRPr="0080595F">
        <w:rPr>
          <w:rFonts w:ascii="Arial" w:hAnsi="Arial" w:cs="Arial"/>
          <w:snapToGrid w:val="0"/>
          <w:color w:val="000000" w:themeColor="text1" w:themeShade="80"/>
          <w:sz w:val="20"/>
          <w:szCs w:val="20"/>
        </w:rPr>
        <w:t xml:space="preserve">ccommodation, </w:t>
      </w:r>
      <w:r w:rsidRPr="0080595F">
        <w:rPr>
          <w:rFonts w:ascii="Arial" w:hAnsi="Arial" w:cs="Arial"/>
          <w:snapToGrid w:val="0"/>
          <w:color w:val="000000" w:themeColor="text1" w:themeShade="80"/>
          <w:sz w:val="20"/>
          <w:szCs w:val="20"/>
        </w:rPr>
        <w:t>t</w:t>
      </w:r>
      <w:r w:rsidRPr="0080595F">
        <w:rPr>
          <w:rFonts w:ascii="Arial" w:hAnsi="Arial" w:cs="Arial"/>
          <w:snapToGrid w:val="0"/>
          <w:color w:val="000000" w:themeColor="text1" w:themeShade="80"/>
          <w:sz w:val="20"/>
          <w:szCs w:val="20"/>
        </w:rPr>
        <w:t xml:space="preserve">ransport, </w:t>
      </w:r>
      <w:r w:rsidRPr="0080595F">
        <w:rPr>
          <w:rFonts w:ascii="Arial" w:hAnsi="Arial" w:cs="Arial"/>
          <w:snapToGrid w:val="0"/>
          <w:color w:val="000000" w:themeColor="text1" w:themeShade="80"/>
          <w:sz w:val="20"/>
          <w:szCs w:val="20"/>
        </w:rPr>
        <w:t>c</w:t>
      </w:r>
      <w:r w:rsidRPr="0080595F">
        <w:rPr>
          <w:rFonts w:ascii="Arial" w:hAnsi="Arial" w:cs="Arial"/>
          <w:snapToGrid w:val="0"/>
          <w:color w:val="000000" w:themeColor="text1" w:themeShade="80"/>
          <w:sz w:val="20"/>
          <w:szCs w:val="20"/>
        </w:rPr>
        <w:t xml:space="preserve">ommunity </w:t>
      </w:r>
      <w:r w:rsidRPr="0080595F">
        <w:rPr>
          <w:rFonts w:ascii="Arial" w:hAnsi="Arial" w:cs="Arial"/>
          <w:snapToGrid w:val="0"/>
          <w:color w:val="000000" w:themeColor="text1" w:themeShade="80"/>
          <w:sz w:val="20"/>
          <w:szCs w:val="20"/>
        </w:rPr>
        <w:t>h</w:t>
      </w:r>
      <w:r w:rsidRPr="0080595F">
        <w:rPr>
          <w:rFonts w:ascii="Arial" w:hAnsi="Arial" w:cs="Arial"/>
          <w:snapToGrid w:val="0"/>
          <w:color w:val="000000" w:themeColor="text1" w:themeShade="80"/>
          <w:sz w:val="20"/>
          <w:szCs w:val="20"/>
        </w:rPr>
        <w:t xml:space="preserve">ealth, </w:t>
      </w:r>
      <w:r w:rsidRPr="0080595F">
        <w:rPr>
          <w:rFonts w:ascii="Arial" w:hAnsi="Arial" w:cs="Arial"/>
          <w:snapToGrid w:val="0"/>
          <w:color w:val="000000" w:themeColor="text1" w:themeShade="80"/>
          <w:sz w:val="20"/>
          <w:szCs w:val="20"/>
        </w:rPr>
        <w:t>p</w:t>
      </w:r>
      <w:r w:rsidRPr="0080595F">
        <w:rPr>
          <w:rFonts w:ascii="Arial" w:hAnsi="Arial" w:cs="Arial"/>
          <w:snapToGrid w:val="0"/>
          <w:color w:val="000000" w:themeColor="text1" w:themeShade="80"/>
          <w:sz w:val="20"/>
          <w:szCs w:val="20"/>
        </w:rPr>
        <w:t>ri</w:t>
      </w:r>
      <w:r w:rsidRPr="0080595F">
        <w:rPr>
          <w:rFonts w:ascii="Arial" w:hAnsi="Arial" w:cs="Arial"/>
          <w:snapToGrid w:val="0"/>
          <w:color w:val="000000" w:themeColor="text1" w:themeShade="80"/>
          <w:sz w:val="20"/>
          <w:szCs w:val="20"/>
        </w:rPr>
        <w:t xml:space="preserve">sons, and </w:t>
      </w:r>
      <w:r w:rsidRPr="0080595F">
        <w:rPr>
          <w:rFonts w:ascii="Arial" w:hAnsi="Arial" w:cs="Arial"/>
          <w:snapToGrid w:val="0"/>
          <w:color w:val="000000" w:themeColor="text1" w:themeShade="80"/>
          <w:sz w:val="20"/>
          <w:szCs w:val="20"/>
        </w:rPr>
        <w:t>u</w:t>
      </w:r>
      <w:r w:rsidRPr="0080595F">
        <w:rPr>
          <w:rFonts w:ascii="Arial" w:hAnsi="Arial" w:cs="Arial"/>
          <w:snapToGrid w:val="0"/>
          <w:color w:val="000000" w:themeColor="text1" w:themeShade="80"/>
          <w:sz w:val="20"/>
          <w:szCs w:val="20"/>
        </w:rPr>
        <w:t xml:space="preserve">tilities. </w:t>
      </w:r>
    </w:p>
    <w:p w:rsidR="00CC2B72" w:rsidP="00846783">
      <w:pPr>
        <w:shd w:val="clear" w:color="auto" w:fill="FFFFFF"/>
        <w:spacing w:after="0" w:line="240" w:lineRule="auto"/>
        <w:rPr>
          <w:rFonts w:ascii="Arial" w:hAnsi="Arial" w:cs="Arial"/>
          <w:snapToGrid w:val="0"/>
          <w:color w:val="000000" w:themeColor="text1" w:themeShade="80"/>
          <w:sz w:val="20"/>
          <w:szCs w:val="20"/>
        </w:rPr>
      </w:pPr>
    </w:p>
    <w:p w:rsidR="00F24B15" w:rsidP="00846783">
      <w:pPr>
        <w:shd w:val="clear" w:color="auto" w:fill="FFFFFF"/>
        <w:spacing w:after="0" w:line="240" w:lineRule="auto"/>
        <w:rPr>
          <w:rFonts w:ascii="Arial" w:hAnsi="Arial" w:cs="Arial"/>
          <w:snapToGrid w:val="0"/>
          <w:color w:val="000000" w:themeColor="text1" w:themeShade="80"/>
          <w:sz w:val="20"/>
          <w:szCs w:val="20"/>
        </w:rPr>
      </w:pPr>
    </w:p>
    <w:p w:rsidR="00F24B15" w:rsidP="00846783">
      <w:pPr>
        <w:shd w:val="clear" w:color="auto" w:fill="FFFFFF"/>
        <w:spacing w:after="0" w:line="240" w:lineRule="auto"/>
        <w:rPr>
          <w:rFonts w:ascii="Arial" w:hAnsi="Arial" w:cs="Arial"/>
          <w:snapToGrid w:val="0"/>
          <w:color w:val="000000" w:themeColor="text1" w:themeShade="80"/>
          <w:sz w:val="20"/>
          <w:szCs w:val="20"/>
        </w:rPr>
      </w:pPr>
    </w:p>
    <w:p w:rsidR="00F24B15" w:rsidP="00846783">
      <w:pPr>
        <w:shd w:val="clear" w:color="auto" w:fill="FFFFFF"/>
        <w:spacing w:after="0" w:line="240" w:lineRule="auto"/>
        <w:rPr>
          <w:rFonts w:ascii="Arial" w:hAnsi="Arial" w:cs="Arial"/>
          <w:snapToGrid w:val="0"/>
          <w:color w:val="000000" w:themeColor="text1" w:themeShade="80"/>
          <w:sz w:val="20"/>
          <w:szCs w:val="20"/>
        </w:rPr>
      </w:pPr>
    </w:p>
    <w:p w:rsidR="00F24B15" w:rsidP="00846783">
      <w:pPr>
        <w:shd w:val="clear" w:color="auto" w:fill="FFFFFF"/>
        <w:spacing w:after="0" w:line="240" w:lineRule="auto"/>
        <w:rPr>
          <w:rFonts w:ascii="Arial" w:hAnsi="Arial" w:cs="Arial"/>
          <w:snapToGrid w:val="0"/>
          <w:color w:val="000000" w:themeColor="text1" w:themeShade="80"/>
          <w:sz w:val="20"/>
          <w:szCs w:val="20"/>
        </w:rPr>
      </w:pPr>
    </w:p>
    <w:p w:rsidR="00846783" w:rsidRPr="000533E0" w:rsidP="0080595F">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 xml:space="preserve">Additional </w:t>
      </w:r>
      <w:r w:rsidRPr="000533E0">
        <w:rPr>
          <w:rFonts w:ascii="Arial" w:hAnsi="Arial" w:cs="Arial"/>
          <w:snapToGrid w:val="0"/>
          <w:color w:val="000000" w:themeColor="text1" w:themeShade="80"/>
          <w:sz w:val="20"/>
          <w:szCs w:val="20"/>
        </w:rPr>
        <w:t>Resources</w:t>
      </w:r>
    </w:p>
    <w:p w:rsidR="00846783" w:rsidP="0080595F">
      <w:pPr>
        <w:shd w:val="clear" w:color="auto" w:fill="FFFFFF"/>
        <w:spacing w:after="0" w:line="240" w:lineRule="auto"/>
        <w:rPr>
          <w:rFonts w:ascii="Arial" w:hAnsi="Arial" w:cs="Arial"/>
          <w:snapToGrid w:val="0"/>
          <w:color w:val="000000" w:themeColor="text1" w:themeShade="80"/>
          <w:sz w:val="20"/>
          <w:szCs w:val="20"/>
        </w:rPr>
      </w:pPr>
    </w:p>
    <w:p w:rsidR="0027669B" w:rsidP="0080595F">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LPP</w:t>
      </w:r>
      <w:r>
        <w:rPr>
          <w:rFonts w:ascii="Arial" w:hAnsi="Arial" w:cs="Arial"/>
          <w:snapToGrid w:val="0"/>
          <w:color w:val="000000" w:themeColor="text1" w:themeShade="80"/>
          <w:sz w:val="20"/>
          <w:szCs w:val="20"/>
        </w:rPr>
        <w:t>I</w:t>
      </w:r>
      <w:r>
        <w:rPr>
          <w:rFonts w:ascii="Arial" w:hAnsi="Arial" w:cs="Arial"/>
          <w:snapToGrid w:val="0"/>
          <w:color w:val="000000" w:themeColor="text1" w:themeShade="80"/>
          <w:sz w:val="20"/>
          <w:szCs w:val="20"/>
        </w:rPr>
        <w:t xml:space="preserve"> has </w:t>
      </w:r>
      <w:r>
        <w:rPr>
          <w:rFonts w:ascii="Arial" w:hAnsi="Arial" w:cs="Arial"/>
          <w:snapToGrid w:val="0"/>
          <w:color w:val="000000" w:themeColor="text1" w:themeShade="80"/>
          <w:sz w:val="20"/>
          <w:szCs w:val="20"/>
        </w:rPr>
        <w:t>significant</w:t>
      </w:r>
      <w:r>
        <w:rPr>
          <w:rFonts w:ascii="Arial" w:hAnsi="Arial" w:cs="Arial"/>
          <w:snapToGrid w:val="0"/>
          <w:color w:val="000000" w:themeColor="text1" w:themeShade="80"/>
          <w:sz w:val="20"/>
          <w:szCs w:val="20"/>
        </w:rPr>
        <w:t>ly</w:t>
      </w:r>
      <w:r>
        <w:rPr>
          <w:rFonts w:ascii="Arial" w:hAnsi="Arial" w:cs="Arial"/>
          <w:snapToGrid w:val="0"/>
          <w:color w:val="000000" w:themeColor="text1" w:themeShade="80"/>
          <w:sz w:val="20"/>
          <w:szCs w:val="20"/>
        </w:rPr>
        <w:t xml:space="preserve"> increase</w:t>
      </w:r>
      <w:r>
        <w:rPr>
          <w:rFonts w:ascii="Arial" w:hAnsi="Arial" w:cs="Arial"/>
          <w:snapToGrid w:val="0"/>
          <w:color w:val="000000" w:themeColor="text1" w:themeShade="80"/>
          <w:sz w:val="20"/>
          <w:szCs w:val="20"/>
        </w:rPr>
        <w:t>d</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the resources being dedicat</w:t>
      </w:r>
      <w:r>
        <w:rPr>
          <w:rFonts w:ascii="Arial" w:hAnsi="Arial" w:cs="Arial"/>
          <w:snapToGrid w:val="0"/>
          <w:color w:val="000000" w:themeColor="text1" w:themeShade="80"/>
          <w:sz w:val="20"/>
          <w:szCs w:val="20"/>
        </w:rPr>
        <w:t>ed</w:t>
      </w:r>
      <w:r>
        <w:rPr>
          <w:rFonts w:ascii="Arial" w:hAnsi="Arial" w:cs="Arial"/>
          <w:snapToGrid w:val="0"/>
          <w:color w:val="000000" w:themeColor="text1" w:themeShade="80"/>
          <w:sz w:val="20"/>
          <w:szCs w:val="20"/>
        </w:rPr>
        <w:t xml:space="preserve"> to Responsible Investment through appointment</w:t>
      </w:r>
      <w:r>
        <w:rPr>
          <w:rFonts w:ascii="Arial" w:hAnsi="Arial" w:cs="Arial"/>
          <w:snapToGrid w:val="0"/>
          <w:color w:val="000000" w:themeColor="text1" w:themeShade="80"/>
          <w:sz w:val="20"/>
          <w:szCs w:val="20"/>
        </w:rPr>
        <w:t>s</w:t>
      </w:r>
      <w:r>
        <w:rPr>
          <w:rFonts w:ascii="Arial" w:hAnsi="Arial" w:cs="Arial"/>
          <w:snapToGrid w:val="0"/>
          <w:color w:val="000000" w:themeColor="text1" w:themeShade="80"/>
          <w:sz w:val="20"/>
          <w:szCs w:val="20"/>
        </w:rPr>
        <w:t xml:space="preserve"> to </w:t>
      </w:r>
      <w:r>
        <w:rPr>
          <w:rFonts w:ascii="Arial" w:hAnsi="Arial" w:cs="Arial"/>
          <w:snapToGrid w:val="0"/>
          <w:color w:val="000000" w:themeColor="text1" w:themeShade="80"/>
          <w:sz w:val="20"/>
          <w:szCs w:val="20"/>
        </w:rPr>
        <w:t xml:space="preserve">3 </w:t>
      </w:r>
      <w:r>
        <w:rPr>
          <w:rFonts w:ascii="Arial" w:hAnsi="Arial" w:cs="Arial"/>
          <w:snapToGrid w:val="0"/>
          <w:color w:val="000000" w:themeColor="text1" w:themeShade="80"/>
          <w:sz w:val="20"/>
          <w:szCs w:val="20"/>
        </w:rPr>
        <w:t xml:space="preserve">new </w:t>
      </w:r>
      <w:r>
        <w:rPr>
          <w:rFonts w:ascii="Arial" w:hAnsi="Arial" w:cs="Arial"/>
          <w:snapToGrid w:val="0"/>
          <w:color w:val="000000" w:themeColor="text1" w:themeShade="80"/>
          <w:sz w:val="20"/>
          <w:szCs w:val="20"/>
        </w:rPr>
        <w:t>A</w:t>
      </w:r>
      <w:r>
        <w:rPr>
          <w:rFonts w:ascii="Arial" w:hAnsi="Arial" w:cs="Arial"/>
          <w:snapToGrid w:val="0"/>
          <w:color w:val="000000" w:themeColor="text1" w:themeShade="80"/>
          <w:sz w:val="20"/>
          <w:szCs w:val="20"/>
        </w:rPr>
        <w:t>nalyst posts</w:t>
      </w:r>
      <w:r>
        <w:rPr>
          <w:rFonts w:ascii="Arial" w:hAnsi="Arial" w:cs="Arial"/>
          <w:snapToGrid w:val="0"/>
          <w:color w:val="000000" w:themeColor="text1" w:themeShade="80"/>
          <w:sz w:val="20"/>
          <w:szCs w:val="20"/>
        </w:rPr>
        <w:t xml:space="preserve"> over the summer</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This investment </w:t>
      </w:r>
      <w:r>
        <w:rPr>
          <w:rFonts w:ascii="Arial" w:hAnsi="Arial" w:cs="Arial"/>
          <w:snapToGrid w:val="0"/>
          <w:color w:val="000000" w:themeColor="text1" w:themeShade="80"/>
          <w:sz w:val="20"/>
          <w:szCs w:val="20"/>
        </w:rPr>
        <w:t xml:space="preserve">in expanding </w:t>
      </w:r>
      <w:r>
        <w:rPr>
          <w:rFonts w:ascii="Arial" w:hAnsi="Arial" w:cs="Arial"/>
          <w:snapToGrid w:val="0"/>
          <w:color w:val="000000" w:themeColor="text1" w:themeShade="80"/>
          <w:sz w:val="20"/>
          <w:szCs w:val="20"/>
        </w:rPr>
        <w:t xml:space="preserve">current </w:t>
      </w:r>
      <w:r>
        <w:rPr>
          <w:rFonts w:ascii="Arial" w:hAnsi="Arial" w:cs="Arial"/>
          <w:snapToGrid w:val="0"/>
          <w:color w:val="000000" w:themeColor="text1" w:themeShade="80"/>
          <w:sz w:val="20"/>
          <w:szCs w:val="20"/>
        </w:rPr>
        <w:t xml:space="preserve">capacity </w:t>
      </w:r>
      <w:r>
        <w:rPr>
          <w:rFonts w:ascii="Arial" w:hAnsi="Arial" w:cs="Arial"/>
          <w:snapToGrid w:val="0"/>
          <w:color w:val="000000" w:themeColor="text1" w:themeShade="80"/>
          <w:sz w:val="20"/>
          <w:szCs w:val="20"/>
        </w:rPr>
        <w:t>re</w:t>
      </w:r>
      <w:r>
        <w:rPr>
          <w:rFonts w:ascii="Arial" w:hAnsi="Arial" w:cs="Arial"/>
          <w:snapToGrid w:val="0"/>
          <w:color w:val="000000" w:themeColor="text1" w:themeShade="80"/>
          <w:sz w:val="20"/>
          <w:szCs w:val="20"/>
        </w:rPr>
        <w:t>flects</w:t>
      </w:r>
      <w:r>
        <w:rPr>
          <w:rFonts w:ascii="Arial" w:hAnsi="Arial" w:cs="Arial"/>
          <w:snapToGrid w:val="0"/>
          <w:color w:val="000000" w:themeColor="text1" w:themeShade="80"/>
          <w:sz w:val="20"/>
          <w:szCs w:val="20"/>
        </w:rPr>
        <w:t xml:space="preserve"> the importance </w:t>
      </w:r>
      <w:r>
        <w:rPr>
          <w:rFonts w:ascii="Arial" w:hAnsi="Arial" w:cs="Arial"/>
          <w:snapToGrid w:val="0"/>
          <w:color w:val="000000" w:themeColor="text1" w:themeShade="80"/>
          <w:sz w:val="20"/>
          <w:szCs w:val="20"/>
        </w:rPr>
        <w:t xml:space="preserve">LPP places </w:t>
      </w:r>
      <w:r>
        <w:rPr>
          <w:rFonts w:ascii="Arial" w:hAnsi="Arial" w:cs="Arial"/>
          <w:snapToGrid w:val="0"/>
          <w:color w:val="000000" w:themeColor="text1" w:themeShade="80"/>
          <w:sz w:val="20"/>
          <w:szCs w:val="20"/>
        </w:rPr>
        <w:t>on</w:t>
      </w:r>
      <w:r>
        <w:rPr>
          <w:rFonts w:ascii="Arial" w:hAnsi="Arial" w:cs="Arial"/>
          <w:snapToGrid w:val="0"/>
          <w:color w:val="000000" w:themeColor="text1" w:themeShade="80"/>
          <w:sz w:val="20"/>
          <w:szCs w:val="20"/>
        </w:rPr>
        <w:t xml:space="preserve"> RI and investment</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stewardship. </w:t>
      </w:r>
    </w:p>
    <w:p w:rsidR="0027669B" w:rsidP="0080595F">
      <w:pPr>
        <w:shd w:val="clear" w:color="auto" w:fill="FFFFFF"/>
        <w:spacing w:after="0" w:line="240" w:lineRule="auto"/>
        <w:rPr>
          <w:rFonts w:ascii="Arial" w:hAnsi="Arial" w:cs="Arial"/>
          <w:snapToGrid w:val="0"/>
          <w:color w:val="000000" w:themeColor="text1" w:themeShade="80"/>
          <w:sz w:val="20"/>
          <w:szCs w:val="20"/>
        </w:rPr>
      </w:pPr>
    </w:p>
    <w:p w:rsidR="00846783" w:rsidP="0080595F">
      <w:pPr>
        <w:shd w:val="clear" w:color="auto" w:fill="FFFFFF"/>
        <w:spacing w:after="0" w:line="240" w:lineRule="auto"/>
        <w:rPr>
          <w:rFonts w:ascii="Arial" w:hAnsi="Arial" w:cs="Arial"/>
          <w:snapToGrid w:val="0"/>
          <w:color w:val="000000" w:themeColor="text1" w:themeShade="80"/>
          <w:sz w:val="20"/>
          <w:szCs w:val="20"/>
        </w:rPr>
      </w:pPr>
      <w:r>
        <w:rPr>
          <w:rFonts w:ascii="Arial" w:hAnsi="Arial" w:cs="Arial"/>
          <w:snapToGrid w:val="0"/>
          <w:color w:val="000000" w:themeColor="text1" w:themeShade="80"/>
          <w:sz w:val="20"/>
          <w:szCs w:val="20"/>
        </w:rPr>
        <w:t>The new posts</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report to</w:t>
      </w:r>
      <w:r>
        <w:rPr>
          <w:rFonts w:ascii="Arial" w:hAnsi="Arial" w:cs="Arial"/>
          <w:snapToGrid w:val="0"/>
          <w:color w:val="000000" w:themeColor="text1" w:themeShade="80"/>
          <w:sz w:val="20"/>
          <w:szCs w:val="20"/>
        </w:rPr>
        <w:t xml:space="preserve"> the Head of RI</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are </w:t>
      </w:r>
      <w:r>
        <w:rPr>
          <w:rFonts w:ascii="Arial" w:hAnsi="Arial" w:cs="Arial"/>
          <w:snapToGrid w:val="0"/>
          <w:color w:val="000000" w:themeColor="text1" w:themeShade="80"/>
          <w:sz w:val="20"/>
          <w:szCs w:val="20"/>
        </w:rPr>
        <w:t xml:space="preserve">members of the Investment Strategy Team </w:t>
      </w:r>
      <w:r>
        <w:rPr>
          <w:rFonts w:ascii="Arial" w:hAnsi="Arial" w:cs="Arial"/>
          <w:snapToGrid w:val="0"/>
          <w:color w:val="000000" w:themeColor="text1" w:themeShade="80"/>
          <w:sz w:val="20"/>
          <w:szCs w:val="20"/>
        </w:rPr>
        <w:t xml:space="preserve">and </w:t>
      </w:r>
      <w:r>
        <w:rPr>
          <w:rFonts w:ascii="Arial" w:hAnsi="Arial" w:cs="Arial"/>
          <w:snapToGrid w:val="0"/>
          <w:color w:val="000000" w:themeColor="text1" w:themeShade="80"/>
          <w:sz w:val="20"/>
          <w:szCs w:val="20"/>
        </w:rPr>
        <w:t>create a</w:t>
      </w:r>
      <w:r>
        <w:rPr>
          <w:rFonts w:ascii="Arial" w:hAnsi="Arial" w:cs="Arial"/>
          <w:snapToGrid w:val="0"/>
          <w:color w:val="000000" w:themeColor="text1" w:themeShade="80"/>
          <w:sz w:val="20"/>
          <w:szCs w:val="20"/>
        </w:rPr>
        <w:t xml:space="preserve"> split site </w:t>
      </w:r>
      <w:r>
        <w:rPr>
          <w:rFonts w:ascii="Arial" w:hAnsi="Arial" w:cs="Arial"/>
          <w:snapToGrid w:val="0"/>
          <w:color w:val="000000" w:themeColor="text1" w:themeShade="80"/>
          <w:sz w:val="20"/>
          <w:szCs w:val="20"/>
        </w:rPr>
        <w:t xml:space="preserve">RI Team </w:t>
      </w:r>
      <w:r>
        <w:rPr>
          <w:rFonts w:ascii="Arial" w:hAnsi="Arial" w:cs="Arial"/>
          <w:snapToGrid w:val="0"/>
          <w:color w:val="000000" w:themeColor="text1" w:themeShade="80"/>
          <w:sz w:val="20"/>
          <w:szCs w:val="20"/>
        </w:rPr>
        <w:t xml:space="preserve">of 4fte </w:t>
      </w:r>
      <w:r>
        <w:rPr>
          <w:rFonts w:ascii="Arial" w:hAnsi="Arial" w:cs="Arial"/>
          <w:snapToGrid w:val="0"/>
          <w:color w:val="000000" w:themeColor="text1" w:themeShade="80"/>
          <w:sz w:val="20"/>
          <w:szCs w:val="20"/>
        </w:rPr>
        <w:t xml:space="preserve">which </w:t>
      </w:r>
      <w:r>
        <w:rPr>
          <w:rFonts w:ascii="Arial" w:hAnsi="Arial" w:cs="Arial"/>
          <w:snapToGrid w:val="0"/>
          <w:color w:val="000000" w:themeColor="text1" w:themeShade="80"/>
          <w:sz w:val="20"/>
          <w:szCs w:val="20"/>
        </w:rPr>
        <w:t>has a presence in both</w:t>
      </w:r>
      <w:r>
        <w:rPr>
          <w:rFonts w:ascii="Arial" w:hAnsi="Arial" w:cs="Arial"/>
          <w:snapToGrid w:val="0"/>
          <w:color w:val="000000" w:themeColor="text1" w:themeShade="80"/>
          <w:sz w:val="20"/>
          <w:szCs w:val="20"/>
        </w:rPr>
        <w:t xml:space="preserve"> London and Preston offices </w:t>
      </w:r>
      <w:r>
        <w:rPr>
          <w:rFonts w:ascii="Arial" w:hAnsi="Arial" w:cs="Arial"/>
          <w:snapToGrid w:val="0"/>
          <w:color w:val="000000" w:themeColor="text1" w:themeShade="80"/>
          <w:sz w:val="20"/>
          <w:szCs w:val="20"/>
        </w:rPr>
        <w:t>(</w:t>
      </w:r>
      <w:r>
        <w:rPr>
          <w:rFonts w:ascii="Arial" w:hAnsi="Arial" w:cs="Arial"/>
          <w:snapToGrid w:val="0"/>
          <w:color w:val="000000" w:themeColor="text1" w:themeShade="80"/>
          <w:sz w:val="20"/>
          <w:szCs w:val="20"/>
        </w:rPr>
        <w:t xml:space="preserve">which </w:t>
      </w:r>
      <w:r>
        <w:rPr>
          <w:rFonts w:ascii="Arial" w:hAnsi="Arial" w:cs="Arial"/>
          <w:snapToGrid w:val="0"/>
          <w:color w:val="000000" w:themeColor="text1" w:themeShade="80"/>
          <w:sz w:val="20"/>
          <w:szCs w:val="20"/>
        </w:rPr>
        <w:t xml:space="preserve">makes it </w:t>
      </w:r>
      <w:r>
        <w:rPr>
          <w:rFonts w:ascii="Arial" w:hAnsi="Arial" w:cs="Arial"/>
          <w:snapToGrid w:val="0"/>
          <w:color w:val="000000" w:themeColor="text1" w:themeShade="80"/>
          <w:sz w:val="20"/>
          <w:szCs w:val="20"/>
        </w:rPr>
        <w:t xml:space="preserve">better </w:t>
      </w:r>
      <w:r>
        <w:rPr>
          <w:rFonts w:ascii="Arial" w:hAnsi="Arial" w:cs="Arial"/>
          <w:snapToGrid w:val="0"/>
          <w:color w:val="000000" w:themeColor="text1" w:themeShade="80"/>
          <w:sz w:val="20"/>
          <w:szCs w:val="20"/>
        </w:rPr>
        <w:t xml:space="preserve">able to </w:t>
      </w:r>
      <w:r>
        <w:rPr>
          <w:rFonts w:ascii="Arial" w:hAnsi="Arial" w:cs="Arial"/>
          <w:snapToGrid w:val="0"/>
          <w:color w:val="000000" w:themeColor="text1" w:themeShade="80"/>
          <w:sz w:val="20"/>
          <w:szCs w:val="20"/>
        </w:rPr>
        <w:t xml:space="preserve">support </w:t>
      </w:r>
      <w:r>
        <w:rPr>
          <w:rFonts w:ascii="Arial" w:hAnsi="Arial" w:cs="Arial"/>
          <w:snapToGrid w:val="0"/>
          <w:color w:val="000000" w:themeColor="text1" w:themeShade="80"/>
          <w:sz w:val="20"/>
          <w:szCs w:val="20"/>
        </w:rPr>
        <w:t xml:space="preserve">the </w:t>
      </w:r>
      <w:r>
        <w:rPr>
          <w:rFonts w:ascii="Arial" w:hAnsi="Arial" w:cs="Arial"/>
          <w:snapToGrid w:val="0"/>
          <w:color w:val="000000" w:themeColor="text1" w:themeShade="80"/>
          <w:sz w:val="20"/>
          <w:szCs w:val="20"/>
        </w:rPr>
        <w:t xml:space="preserve">activities of </w:t>
      </w:r>
      <w:r>
        <w:rPr>
          <w:rFonts w:ascii="Arial" w:hAnsi="Arial" w:cs="Arial"/>
          <w:snapToGrid w:val="0"/>
          <w:color w:val="000000" w:themeColor="text1" w:themeShade="80"/>
          <w:sz w:val="20"/>
          <w:szCs w:val="20"/>
        </w:rPr>
        <w:t>asset class teams</w:t>
      </w:r>
      <w:r>
        <w:rPr>
          <w:rFonts w:ascii="Arial" w:hAnsi="Arial" w:cs="Arial"/>
          <w:snapToGrid w:val="0"/>
          <w:color w:val="000000" w:themeColor="text1" w:themeShade="80"/>
          <w:sz w:val="20"/>
          <w:szCs w:val="20"/>
        </w:rPr>
        <w:t>)</w:t>
      </w:r>
      <w:r>
        <w:rPr>
          <w:rFonts w:ascii="Arial" w:hAnsi="Arial" w:cs="Arial"/>
          <w:snapToGrid w:val="0"/>
          <w:color w:val="000000" w:themeColor="text1" w:themeShade="80"/>
          <w:sz w:val="20"/>
          <w:szCs w:val="20"/>
        </w:rPr>
        <w:t>.  Priorities include</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further </w:t>
      </w:r>
      <w:r>
        <w:rPr>
          <w:rFonts w:ascii="Arial" w:hAnsi="Arial" w:cs="Arial"/>
          <w:snapToGrid w:val="0"/>
          <w:color w:val="000000" w:themeColor="text1" w:themeShade="80"/>
          <w:sz w:val="20"/>
          <w:szCs w:val="20"/>
        </w:rPr>
        <w:t>developing policy and procedures</w:t>
      </w:r>
      <w:r>
        <w:rPr>
          <w:rFonts w:ascii="Arial" w:hAnsi="Arial" w:cs="Arial"/>
          <w:snapToGrid w:val="0"/>
          <w:color w:val="000000" w:themeColor="text1" w:themeShade="80"/>
          <w:sz w:val="20"/>
          <w:szCs w:val="20"/>
        </w:rPr>
        <w:t xml:space="preserve"> which integrate ESG into decision-making, </w:t>
      </w:r>
      <w:r>
        <w:rPr>
          <w:rFonts w:ascii="Arial" w:hAnsi="Arial" w:cs="Arial"/>
          <w:snapToGrid w:val="0"/>
          <w:color w:val="000000" w:themeColor="text1" w:themeShade="80"/>
          <w:sz w:val="20"/>
          <w:szCs w:val="20"/>
        </w:rPr>
        <w:t>facilitat</w:t>
      </w:r>
      <w:r>
        <w:rPr>
          <w:rFonts w:ascii="Arial" w:hAnsi="Arial" w:cs="Arial"/>
          <w:snapToGrid w:val="0"/>
          <w:color w:val="000000" w:themeColor="text1" w:themeShade="80"/>
          <w:sz w:val="20"/>
          <w:szCs w:val="20"/>
        </w:rPr>
        <w:t>ing</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LPPI’s participation</w:t>
      </w:r>
      <w:r>
        <w:rPr>
          <w:rFonts w:ascii="Arial" w:hAnsi="Arial" w:cs="Arial"/>
          <w:snapToGrid w:val="0"/>
          <w:color w:val="000000" w:themeColor="text1" w:themeShade="80"/>
          <w:sz w:val="20"/>
          <w:szCs w:val="20"/>
        </w:rPr>
        <w:t xml:space="preserve"> in collaborative </w:t>
      </w:r>
      <w:r>
        <w:rPr>
          <w:rFonts w:ascii="Arial" w:hAnsi="Arial" w:cs="Arial"/>
          <w:snapToGrid w:val="0"/>
          <w:color w:val="000000" w:themeColor="text1" w:themeShade="80"/>
          <w:sz w:val="20"/>
          <w:szCs w:val="20"/>
        </w:rPr>
        <w:t>initiatives</w:t>
      </w:r>
      <w:r>
        <w:rPr>
          <w:rFonts w:ascii="Arial" w:hAnsi="Arial" w:cs="Arial"/>
          <w:snapToGrid w:val="0"/>
          <w:color w:val="000000" w:themeColor="text1" w:themeShade="80"/>
          <w:sz w:val="20"/>
          <w:szCs w:val="20"/>
        </w:rPr>
        <w:t xml:space="preserve"> and </w:t>
      </w:r>
      <w:r>
        <w:rPr>
          <w:rFonts w:ascii="Arial" w:hAnsi="Arial" w:cs="Arial"/>
          <w:snapToGrid w:val="0"/>
          <w:color w:val="000000" w:themeColor="text1" w:themeShade="80"/>
          <w:sz w:val="20"/>
          <w:szCs w:val="20"/>
        </w:rPr>
        <w:t xml:space="preserve">identifying and </w:t>
      </w:r>
      <w:r>
        <w:rPr>
          <w:rFonts w:ascii="Arial" w:hAnsi="Arial" w:cs="Arial"/>
          <w:snapToGrid w:val="0"/>
          <w:color w:val="000000" w:themeColor="text1" w:themeShade="80"/>
          <w:sz w:val="20"/>
          <w:szCs w:val="20"/>
        </w:rPr>
        <w:t>us</w:t>
      </w:r>
      <w:r>
        <w:rPr>
          <w:rFonts w:ascii="Arial" w:hAnsi="Arial" w:cs="Arial"/>
          <w:snapToGrid w:val="0"/>
          <w:color w:val="000000" w:themeColor="text1" w:themeShade="80"/>
          <w:sz w:val="20"/>
          <w:szCs w:val="20"/>
        </w:rPr>
        <w:t>ing</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data </w:t>
      </w:r>
      <w:r>
        <w:rPr>
          <w:rFonts w:ascii="Arial" w:hAnsi="Arial" w:cs="Arial"/>
          <w:snapToGrid w:val="0"/>
          <w:color w:val="000000" w:themeColor="text1" w:themeShade="80"/>
          <w:sz w:val="20"/>
          <w:szCs w:val="20"/>
        </w:rPr>
        <w:t xml:space="preserve">to </w:t>
      </w:r>
      <w:r>
        <w:rPr>
          <w:rFonts w:ascii="Arial" w:hAnsi="Arial" w:cs="Arial"/>
          <w:snapToGrid w:val="0"/>
          <w:color w:val="000000" w:themeColor="text1" w:themeShade="80"/>
          <w:sz w:val="20"/>
          <w:szCs w:val="20"/>
        </w:rPr>
        <w:t xml:space="preserve">identify, map and </w:t>
      </w:r>
      <w:r>
        <w:rPr>
          <w:rFonts w:ascii="Arial" w:hAnsi="Arial" w:cs="Arial"/>
          <w:snapToGrid w:val="0"/>
          <w:color w:val="000000" w:themeColor="text1" w:themeShade="80"/>
          <w:sz w:val="20"/>
          <w:szCs w:val="20"/>
        </w:rPr>
        <w:t>quantif</w:t>
      </w:r>
      <w:r>
        <w:rPr>
          <w:rFonts w:ascii="Arial" w:hAnsi="Arial" w:cs="Arial"/>
          <w:snapToGrid w:val="0"/>
          <w:color w:val="000000" w:themeColor="text1" w:themeShade="80"/>
          <w:sz w:val="20"/>
          <w:szCs w:val="20"/>
        </w:rPr>
        <w:t>y risks through</w:t>
      </w:r>
      <w:r>
        <w:rPr>
          <w:rFonts w:ascii="Arial" w:hAnsi="Arial" w:cs="Arial"/>
          <w:snapToGrid w:val="0"/>
          <w:color w:val="000000" w:themeColor="text1" w:themeShade="80"/>
          <w:sz w:val="20"/>
          <w:szCs w:val="20"/>
        </w:rPr>
        <w:t xml:space="preserve"> models which </w:t>
      </w:r>
      <w:r>
        <w:rPr>
          <w:rFonts w:ascii="Arial" w:hAnsi="Arial" w:cs="Arial"/>
          <w:snapToGrid w:val="0"/>
          <w:color w:val="000000" w:themeColor="text1" w:themeShade="80"/>
          <w:sz w:val="20"/>
          <w:szCs w:val="20"/>
        </w:rPr>
        <w:t xml:space="preserve">will </w:t>
      </w:r>
      <w:r>
        <w:rPr>
          <w:rFonts w:ascii="Arial" w:hAnsi="Arial" w:cs="Arial"/>
          <w:snapToGrid w:val="0"/>
          <w:color w:val="000000" w:themeColor="text1" w:themeShade="80"/>
          <w:sz w:val="20"/>
          <w:szCs w:val="20"/>
        </w:rPr>
        <w:t xml:space="preserve">support </w:t>
      </w:r>
      <w:r>
        <w:rPr>
          <w:rFonts w:ascii="Arial" w:hAnsi="Arial" w:cs="Arial"/>
          <w:snapToGrid w:val="0"/>
          <w:color w:val="000000" w:themeColor="text1" w:themeShade="80"/>
          <w:sz w:val="20"/>
          <w:szCs w:val="20"/>
        </w:rPr>
        <w:t xml:space="preserve">monitoring, </w:t>
      </w:r>
      <w:r>
        <w:rPr>
          <w:rFonts w:ascii="Arial" w:hAnsi="Arial" w:cs="Arial"/>
          <w:snapToGrid w:val="0"/>
          <w:color w:val="000000" w:themeColor="text1" w:themeShade="80"/>
          <w:sz w:val="20"/>
          <w:szCs w:val="20"/>
        </w:rPr>
        <w:t xml:space="preserve">help to </w:t>
      </w:r>
      <w:r>
        <w:rPr>
          <w:rFonts w:ascii="Arial" w:hAnsi="Arial" w:cs="Arial"/>
          <w:snapToGrid w:val="0"/>
          <w:color w:val="000000" w:themeColor="text1" w:themeShade="80"/>
          <w:sz w:val="20"/>
          <w:szCs w:val="20"/>
        </w:rPr>
        <w:t>pr</w:t>
      </w:r>
      <w:r>
        <w:rPr>
          <w:rFonts w:ascii="Arial" w:hAnsi="Arial" w:cs="Arial"/>
          <w:snapToGrid w:val="0"/>
          <w:color w:val="000000" w:themeColor="text1" w:themeShade="80"/>
          <w:sz w:val="20"/>
          <w:szCs w:val="20"/>
        </w:rPr>
        <w:t>ioritise</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stewardship </w:t>
      </w:r>
      <w:r>
        <w:rPr>
          <w:rFonts w:ascii="Arial" w:hAnsi="Arial" w:cs="Arial"/>
          <w:snapToGrid w:val="0"/>
          <w:color w:val="000000" w:themeColor="text1" w:themeShade="80"/>
          <w:sz w:val="20"/>
          <w:szCs w:val="20"/>
        </w:rPr>
        <w:t xml:space="preserve">activity and </w:t>
      </w:r>
      <w:r>
        <w:rPr>
          <w:rFonts w:ascii="Arial" w:hAnsi="Arial" w:cs="Arial"/>
          <w:snapToGrid w:val="0"/>
          <w:color w:val="000000" w:themeColor="text1" w:themeShade="80"/>
          <w:sz w:val="20"/>
          <w:szCs w:val="20"/>
        </w:rPr>
        <w:t>increase</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the availability of information for </w:t>
      </w:r>
      <w:r>
        <w:rPr>
          <w:rFonts w:ascii="Arial" w:hAnsi="Arial" w:cs="Arial"/>
          <w:snapToGrid w:val="0"/>
          <w:color w:val="000000" w:themeColor="text1" w:themeShade="80"/>
          <w:sz w:val="20"/>
          <w:szCs w:val="20"/>
        </w:rPr>
        <w:t xml:space="preserve">enriching </w:t>
      </w:r>
      <w:r>
        <w:rPr>
          <w:rFonts w:ascii="Arial" w:hAnsi="Arial" w:cs="Arial"/>
          <w:snapToGrid w:val="0"/>
          <w:color w:val="000000" w:themeColor="text1" w:themeShade="80"/>
          <w:sz w:val="20"/>
          <w:szCs w:val="20"/>
        </w:rPr>
        <w:t>client</w:t>
      </w:r>
      <w:r>
        <w:rPr>
          <w:rFonts w:ascii="Arial" w:hAnsi="Arial" w:cs="Arial"/>
          <w:snapToGrid w:val="0"/>
          <w:color w:val="000000" w:themeColor="text1" w:themeShade="80"/>
          <w:sz w:val="20"/>
          <w:szCs w:val="20"/>
        </w:rPr>
        <w:t xml:space="preserve"> </w:t>
      </w:r>
      <w:r>
        <w:rPr>
          <w:rFonts w:ascii="Arial" w:hAnsi="Arial" w:cs="Arial"/>
          <w:snapToGrid w:val="0"/>
          <w:color w:val="000000" w:themeColor="text1" w:themeShade="80"/>
          <w:sz w:val="20"/>
          <w:szCs w:val="20"/>
        </w:rPr>
        <w:t xml:space="preserve">and external </w:t>
      </w:r>
      <w:r>
        <w:rPr>
          <w:rFonts w:ascii="Arial" w:hAnsi="Arial" w:cs="Arial"/>
          <w:snapToGrid w:val="0"/>
          <w:color w:val="000000" w:themeColor="text1" w:themeShade="80"/>
          <w:sz w:val="20"/>
          <w:szCs w:val="20"/>
        </w:rPr>
        <w:t>reporting</w:t>
      </w:r>
      <w:r>
        <w:rPr>
          <w:rFonts w:ascii="Arial" w:hAnsi="Arial" w:cs="Arial"/>
          <w:snapToGrid w:val="0"/>
          <w:color w:val="000000" w:themeColor="text1" w:themeShade="80"/>
          <w:sz w:val="20"/>
          <w:szCs w:val="20"/>
        </w:rPr>
        <w:t xml:space="preserve">.   </w:t>
      </w:r>
    </w:p>
    <w:p w:rsidR="00846783" w:rsidRPr="0080595F" w:rsidP="0080595F">
      <w:pPr>
        <w:shd w:val="clear" w:color="auto" w:fill="FFFFFF"/>
        <w:spacing w:after="0" w:line="240" w:lineRule="auto"/>
        <w:rPr>
          <w:rFonts w:ascii="Arial" w:hAnsi="Arial" w:cs="Arial"/>
          <w:snapToGrid w:val="0"/>
          <w:color w:val="000000" w:themeColor="text1" w:themeShade="80"/>
          <w:sz w:val="20"/>
          <w:szCs w:val="20"/>
        </w:rPr>
      </w:pPr>
    </w:p>
    <w:p w:rsidR="00846783" w:rsidRPr="00200CC3" w:rsidP="00846783">
      <w:pPr>
        <w:spacing w:after="0"/>
        <w:rPr>
          <w:rFonts w:ascii="Verdana" w:hAnsi="Verdana"/>
          <w:sz w:val="20"/>
          <w:szCs w:val="20"/>
        </w:rPr>
      </w:pPr>
    </w:p>
    <w:p w:rsidR="00DB1506"/>
    <w:sectPr w:rsidSect="000533E0">
      <w:footerReference w:type="default" r:id="rId7"/>
      <w:headerReference w:type="first" r:id="rId8"/>
      <w:pgSz w:w="11906" w:h="16838"/>
      <w:pgMar w:top="993" w:right="1440" w:bottom="567"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2BB">
    <w:pPr>
      <w:pStyle w:val="Footer"/>
    </w:pPr>
  </w:p>
  <w:p w:rsidR="009B02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2BB">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2" name="Picture 2"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547217" name="Picture 1" descr="C:\Users\sarah.vanson\AppData\Local\Microsoft\Windows\Temporary Internet Files\Content.Word\LPP JPEG.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CA2380"/>
    <w:multiLevelType w:val="hybridMultilevel"/>
    <w:tmpl w:val="394C9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6731BD"/>
    <w:multiLevelType w:val="hybridMultilevel"/>
    <w:tmpl w:val="CF8224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514DF9"/>
    <w:multiLevelType w:val="hybridMultilevel"/>
    <w:tmpl w:val="12BCF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444BBF"/>
    <w:multiLevelType w:val="hybridMultilevel"/>
    <w:tmpl w:val="6A84AB34"/>
    <w:lvl w:ilvl="0">
      <w:start w:val="1"/>
      <w:numFmt w:val="decimal"/>
      <w:pStyle w:val="treb"/>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4D2CDD"/>
    <w:multiLevelType w:val="hybridMultilevel"/>
    <w:tmpl w:val="CA1AD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4110DF"/>
    <w:multiLevelType w:val="hybridMultilevel"/>
    <w:tmpl w:val="DEBEA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4A5E66"/>
    <w:multiLevelType w:val="hybridMultilevel"/>
    <w:tmpl w:val="53A65D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95215C"/>
    <w:multiLevelType w:val="hybridMultilevel"/>
    <w:tmpl w:val="F93E7B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1121C39"/>
    <w:multiLevelType w:val="multilevel"/>
    <w:tmpl w:val="F27C0598"/>
    <w:lvl w:ilvl="0">
      <w:start w:val="1"/>
      <w:numFmt w:val="none"/>
      <w:pStyle w:val="LPPBodytext"/>
      <w:suff w:val="nothing"/>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9E6D36"/>
    <w:multiLevelType w:val="hybridMultilevel"/>
    <w:tmpl w:val="0EBA6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8633676"/>
    <w:multiLevelType w:val="hybridMultilevel"/>
    <w:tmpl w:val="CCDCB8A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8B915C0"/>
    <w:multiLevelType w:val="multilevel"/>
    <w:tmpl w:val="4D0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94E2A"/>
    <w:multiLevelType w:val="multilevel"/>
    <w:tmpl w:val="F2427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F4631BC"/>
    <w:multiLevelType w:val="hybridMultilevel"/>
    <w:tmpl w:val="728A788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0CA4D2C"/>
    <w:multiLevelType w:val="hybridMultilevel"/>
    <w:tmpl w:val="FBD4B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DD0325"/>
    <w:multiLevelType w:val="hybridMultilevel"/>
    <w:tmpl w:val="CD0AAD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F769C9"/>
    <w:multiLevelType w:val="hybridMultilevel"/>
    <w:tmpl w:val="A64C4B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0"/>
  </w:num>
  <w:num w:numId="5">
    <w:abstractNumId w:val="16"/>
  </w:num>
  <w:num w:numId="6">
    <w:abstractNumId w:val="8"/>
  </w:num>
  <w:num w:numId="7">
    <w:abstractNumId w:val="6"/>
  </w:num>
  <w:num w:numId="8">
    <w:abstractNumId w:val="1"/>
  </w:num>
  <w:num w:numId="9">
    <w:abstractNumId w:val="13"/>
  </w:num>
  <w:num w:numId="10">
    <w:abstractNumId w:val="10"/>
  </w:num>
  <w:num w:numId="11">
    <w:abstractNumId w:val="12"/>
  </w:num>
  <w:num w:numId="12">
    <w:abstractNumId w:val="5"/>
  </w:num>
  <w:num w:numId="13">
    <w:abstractNumId w:val="11"/>
  </w:num>
  <w:num w:numId="14">
    <w:abstractNumId w:val="2"/>
  </w:num>
  <w:num w:numId="15">
    <w:abstractNumId w:val="7"/>
  </w:num>
  <w:num w:numId="16">
    <w:abstractNumId w:val="14"/>
  </w:num>
  <w:num w:numId="17">
    <w:abstractNumId w:val="9"/>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83"/>
    <w:pPr>
      <w:spacing w:after="200" w:line="276" w:lineRule="auto"/>
    </w:pPr>
  </w:style>
  <w:style w:type="paragraph" w:styleId="Heading1">
    <w:name w:val="heading 1"/>
    <w:basedOn w:val="Normal"/>
    <w:next w:val="Normal"/>
    <w:link w:val="Heading1Char"/>
    <w:qFormat/>
    <w:rsid w:val="00846783"/>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8467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4678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783"/>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rsid w:val="008467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46783"/>
    <w:rPr>
      <w:rFonts w:ascii="CG Omega" w:eastAsia="Times New Roman" w:hAnsi="CG Omega" w:cs="Times New Roman"/>
      <w:b/>
      <w:szCs w:val="20"/>
    </w:rPr>
  </w:style>
  <w:style w:type="paragraph" w:styleId="ListParagraph">
    <w:name w:val="List Paragraph"/>
    <w:basedOn w:val="Normal"/>
    <w:link w:val="ListParagraphChar"/>
    <w:qFormat/>
    <w:rsid w:val="00846783"/>
    <w:pPr>
      <w:ind w:left="720"/>
      <w:contextualSpacing/>
    </w:pPr>
  </w:style>
  <w:style w:type="character" w:customStyle="1" w:styleId="Fontsize">
    <w:name w:val="Font &amp; size"/>
    <w:basedOn w:val="DefaultParagraphFont"/>
    <w:rsid w:val="00846783"/>
    <w:rPr>
      <w:rFonts w:ascii="CG Omega" w:hAnsi="CG Omega"/>
      <w:sz w:val="22"/>
    </w:rPr>
  </w:style>
  <w:style w:type="paragraph" w:styleId="Title">
    <w:name w:val="Title"/>
    <w:basedOn w:val="Normal"/>
    <w:link w:val="TitleChar"/>
    <w:qFormat/>
    <w:rsid w:val="0084678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4678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4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83"/>
  </w:style>
  <w:style w:type="paragraph" w:styleId="Footer">
    <w:name w:val="footer"/>
    <w:basedOn w:val="Normal"/>
    <w:link w:val="FooterChar"/>
    <w:uiPriority w:val="99"/>
    <w:unhideWhenUsed/>
    <w:rsid w:val="0084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83"/>
  </w:style>
  <w:style w:type="paragraph" w:styleId="BalloonText">
    <w:name w:val="Balloon Text"/>
    <w:basedOn w:val="Normal"/>
    <w:link w:val="BalloonTextChar"/>
    <w:uiPriority w:val="99"/>
    <w:semiHidden/>
    <w:unhideWhenUsed/>
    <w:rsid w:val="0084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83"/>
    <w:rPr>
      <w:rFonts w:ascii="Tahoma" w:hAnsi="Tahoma" w:cs="Tahoma"/>
      <w:sz w:val="16"/>
      <w:szCs w:val="16"/>
    </w:rPr>
  </w:style>
  <w:style w:type="character" w:customStyle="1" w:styleId="subparatext">
    <w:name w:val="subparatext"/>
    <w:basedOn w:val="DefaultParagraphFont"/>
    <w:uiPriority w:val="99"/>
    <w:rsid w:val="00846783"/>
    <w:rPr>
      <w:rFonts w:cs="Times New Roman"/>
    </w:rPr>
  </w:style>
  <w:style w:type="paragraph" w:customStyle="1" w:styleId="Default">
    <w:name w:val="Default"/>
    <w:rsid w:val="00846783"/>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reb">
    <w:name w:val="treb"/>
    <w:basedOn w:val="ListParagraph"/>
    <w:link w:val="trebChar"/>
    <w:qFormat/>
    <w:rsid w:val="00846783"/>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rsid w:val="00846783"/>
  </w:style>
  <w:style w:type="character" w:customStyle="1" w:styleId="trebChar">
    <w:name w:val="treb Char"/>
    <w:basedOn w:val="ListParagraphChar"/>
    <w:link w:val="treb"/>
    <w:rsid w:val="00846783"/>
    <w:rPr>
      <w:rFonts w:ascii="Trebuchet MS" w:hAnsi="Trebuchet MS" w:cs="Arial"/>
      <w:b/>
      <w:bCs/>
    </w:rPr>
  </w:style>
  <w:style w:type="table" w:styleId="TableGrid">
    <w:name w:val="Table Grid"/>
    <w:basedOn w:val="TableNormal"/>
    <w:rsid w:val="0084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783"/>
    <w:rPr>
      <w:color w:val="0563C1" w:themeColor="hyperlink"/>
      <w:u w:val="single"/>
    </w:rPr>
  </w:style>
  <w:style w:type="paragraph" w:styleId="BodyText">
    <w:name w:val="Body Text"/>
    <w:basedOn w:val="Normal"/>
    <w:link w:val="BodyTextChar"/>
    <w:semiHidden/>
    <w:unhideWhenUsed/>
    <w:rsid w:val="0084678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846783"/>
    <w:rPr>
      <w:rFonts w:ascii="Palatino" w:eastAsia="Times New Roman" w:hAnsi="Palatino" w:cs="Times New Roman"/>
      <w:sz w:val="20"/>
      <w:szCs w:val="20"/>
    </w:rPr>
  </w:style>
  <w:style w:type="character" w:customStyle="1" w:styleId="st1">
    <w:name w:val="st1"/>
    <w:basedOn w:val="DefaultParagraphFont"/>
    <w:rsid w:val="00846783"/>
  </w:style>
  <w:style w:type="character" w:styleId="Emphasis">
    <w:name w:val="Emphasis"/>
    <w:basedOn w:val="DefaultParagraphFont"/>
    <w:uiPriority w:val="20"/>
    <w:qFormat/>
    <w:rsid w:val="00846783"/>
    <w:rPr>
      <w:b/>
      <w:bCs/>
      <w:i w:val="0"/>
      <w:iCs w:val="0"/>
    </w:rPr>
  </w:style>
  <w:style w:type="character" w:styleId="FollowedHyperlink">
    <w:name w:val="FollowedHyperlink"/>
    <w:basedOn w:val="DefaultParagraphFont"/>
    <w:uiPriority w:val="99"/>
    <w:semiHidden/>
    <w:unhideWhenUsed/>
    <w:rsid w:val="00846783"/>
    <w:rPr>
      <w:color w:val="954F72" w:themeColor="followedHyperlink"/>
      <w:u w:val="single"/>
    </w:rPr>
  </w:style>
  <w:style w:type="paragraph" w:styleId="NormalWeb">
    <w:name w:val="Normal (Web)"/>
    <w:basedOn w:val="Normal"/>
    <w:uiPriority w:val="99"/>
    <w:unhideWhenUsed/>
    <w:rsid w:val="00846783"/>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6783"/>
    <w:rPr>
      <w:sz w:val="16"/>
      <w:szCs w:val="16"/>
    </w:rPr>
  </w:style>
  <w:style w:type="paragraph" w:styleId="CommentText">
    <w:name w:val="annotation text"/>
    <w:basedOn w:val="Normal"/>
    <w:link w:val="CommentTextChar"/>
    <w:uiPriority w:val="99"/>
    <w:semiHidden/>
    <w:unhideWhenUsed/>
    <w:rsid w:val="00846783"/>
    <w:pPr>
      <w:spacing w:line="240" w:lineRule="auto"/>
    </w:pPr>
    <w:rPr>
      <w:sz w:val="20"/>
      <w:szCs w:val="20"/>
    </w:rPr>
  </w:style>
  <w:style w:type="character" w:customStyle="1" w:styleId="CommentTextChar">
    <w:name w:val="Comment Text Char"/>
    <w:basedOn w:val="DefaultParagraphFont"/>
    <w:link w:val="CommentText"/>
    <w:uiPriority w:val="99"/>
    <w:semiHidden/>
    <w:rsid w:val="00846783"/>
    <w:rPr>
      <w:sz w:val="20"/>
      <w:szCs w:val="20"/>
    </w:rPr>
  </w:style>
  <w:style w:type="paragraph" w:styleId="CommentSubject">
    <w:name w:val="annotation subject"/>
    <w:basedOn w:val="CommentText"/>
    <w:next w:val="CommentText"/>
    <w:link w:val="CommentSubjectChar"/>
    <w:uiPriority w:val="99"/>
    <w:semiHidden/>
    <w:unhideWhenUsed/>
    <w:rsid w:val="00846783"/>
    <w:rPr>
      <w:b/>
      <w:bCs/>
    </w:rPr>
  </w:style>
  <w:style w:type="character" w:customStyle="1" w:styleId="CommentSubjectChar">
    <w:name w:val="Comment Subject Char"/>
    <w:basedOn w:val="CommentTextChar"/>
    <w:link w:val="CommentSubject"/>
    <w:uiPriority w:val="99"/>
    <w:semiHidden/>
    <w:rsid w:val="00846783"/>
    <w:rPr>
      <w:b/>
      <w:bCs/>
      <w:sz w:val="20"/>
      <w:szCs w:val="20"/>
    </w:rPr>
  </w:style>
  <w:style w:type="character" w:customStyle="1" w:styleId="UnresolvedMention">
    <w:name w:val="Unresolved Mention"/>
    <w:basedOn w:val="DefaultParagraphFont"/>
    <w:uiPriority w:val="99"/>
    <w:semiHidden/>
    <w:unhideWhenUsed/>
    <w:rsid w:val="00846783"/>
    <w:rPr>
      <w:color w:val="808080"/>
      <w:shd w:val="clear" w:color="auto" w:fill="E6E6E6"/>
    </w:rPr>
  </w:style>
  <w:style w:type="character" w:customStyle="1" w:styleId="BodyCopyChar">
    <w:name w:val="Body Copy Char"/>
    <w:basedOn w:val="DefaultParagraphFont"/>
    <w:link w:val="BodyCopy"/>
    <w:locked/>
    <w:rsid w:val="00846783"/>
    <w:rPr>
      <w:rFonts w:ascii="BentonSans Book" w:hAnsi="BentonSans Book"/>
    </w:rPr>
  </w:style>
  <w:style w:type="paragraph" w:customStyle="1" w:styleId="BodyCopy">
    <w:name w:val="Body Copy"/>
    <w:basedOn w:val="Normal"/>
    <w:link w:val="BodyCopyChar"/>
    <w:rsid w:val="00846783"/>
    <w:pPr>
      <w:spacing w:after="0" w:line="280" w:lineRule="atLeast"/>
    </w:pPr>
    <w:rPr>
      <w:rFonts w:ascii="BentonSans Book" w:hAnsi="BentonSans Book"/>
    </w:rPr>
  </w:style>
  <w:style w:type="character" w:customStyle="1" w:styleId="geninfoval1">
    <w:name w:val="geninfoval1"/>
    <w:basedOn w:val="DefaultParagraphFont"/>
    <w:rsid w:val="00846783"/>
    <w:rPr>
      <w:sz w:val="18"/>
      <w:szCs w:val="18"/>
    </w:rPr>
  </w:style>
  <w:style w:type="paragraph" w:customStyle="1" w:styleId="LPPBodytext">
    <w:name w:val="LPP Body text"/>
    <w:basedOn w:val="Normal"/>
    <w:link w:val="LPPBodytextChar"/>
    <w:qFormat/>
    <w:rsid w:val="00846783"/>
    <w:pPr>
      <w:numPr>
        <w:numId w:val="6"/>
      </w:numPr>
      <w:tabs>
        <w:tab w:val="left" w:pos="1843"/>
        <w:tab w:val="left" w:pos="3119"/>
        <w:tab w:val="left" w:pos="4253"/>
      </w:tabs>
      <w:spacing w:after="0" w:line="280" w:lineRule="exact"/>
      <w:jc w:val="both"/>
    </w:pPr>
    <w:rPr>
      <w:rFonts w:ascii="Verdana" w:eastAsia="Times New Roman" w:hAnsi="Verdana" w:cs="Times New Roman"/>
      <w:spacing w:val="-6"/>
      <w:sz w:val="20"/>
      <w:szCs w:val="18"/>
      <w:lang w:val="en-US" w:eastAsia="zh-CN"/>
    </w:rPr>
  </w:style>
  <w:style w:type="character" w:customStyle="1" w:styleId="LPPBodytextChar">
    <w:name w:val="LPP Body text Char"/>
    <w:basedOn w:val="DefaultParagraphFont"/>
    <w:link w:val="LPPBodytext"/>
    <w:rsid w:val="00846783"/>
    <w:rPr>
      <w:rFonts w:ascii="Verdana" w:eastAsia="Times New Roman" w:hAnsi="Verdana" w:cs="Times New Roman"/>
      <w:spacing w:val="-6"/>
      <w:sz w:val="20"/>
      <w:szCs w:val="18"/>
      <w:lang w:val="en-US" w:eastAsia="zh-CN"/>
    </w:rPr>
  </w:style>
  <w:style w:type="character" w:styleId="Strong">
    <w:name w:val="Strong"/>
    <w:basedOn w:val="DefaultParagraphFont"/>
    <w:uiPriority w:val="22"/>
    <w:qFormat/>
    <w:rsid w:val="0084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Britton</dc:creator>
  <cp:lastModifiedBy>Neville, Mike</cp:lastModifiedBy>
  <cp:revision>3</cp:revision>
  <dcterms:created xsi:type="dcterms:W3CDTF">2019-11-15T15:36:00Z</dcterms:created>
  <dcterms:modified xsi:type="dcterms:W3CDTF">2019-11-19T15:00:00Z</dcterms:modified>
</cp:coreProperties>
</file>